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4A8C" w14:textId="77777777" w:rsidR="00511C4F" w:rsidRPr="00757BF2" w:rsidRDefault="00511C4F" w:rsidP="00757BF2">
      <w:pPr>
        <w:pStyle w:val="NoSpacing"/>
        <w:rPr>
          <w:b/>
          <w:bCs/>
          <w:sz w:val="28"/>
          <w:szCs w:val="28"/>
        </w:rPr>
      </w:pPr>
      <w:r w:rsidRPr="00757BF2">
        <w:rPr>
          <w:b/>
          <w:bCs/>
          <w:sz w:val="28"/>
          <w:szCs w:val="28"/>
        </w:rPr>
        <w:t>Purpose</w:t>
      </w:r>
    </w:p>
    <w:p w14:paraId="49F39D99" w14:textId="77777777" w:rsidR="00511C4F" w:rsidRPr="00C97C33" w:rsidRDefault="00511C4F" w:rsidP="00757BF2">
      <w:pPr>
        <w:pStyle w:val="NoSpacing"/>
      </w:pPr>
    </w:p>
    <w:p w14:paraId="21F1CE07" w14:textId="5730268C" w:rsidR="00392470" w:rsidRDefault="00392470" w:rsidP="00757BF2">
      <w:pPr>
        <w:pStyle w:val="NoSpacing"/>
        <w:jc w:val="both"/>
      </w:pPr>
      <w:r w:rsidRPr="00C97C33">
        <w:t xml:space="preserve">This </w:t>
      </w:r>
      <w:r w:rsidR="00C97C33" w:rsidRPr="00C97C33">
        <w:t>document</w:t>
      </w:r>
      <w:r w:rsidR="00641E87" w:rsidRPr="00C97C33">
        <w:t xml:space="preserve"> </w:t>
      </w:r>
      <w:r w:rsidRPr="00C97C33">
        <w:t xml:space="preserve">supports </w:t>
      </w:r>
      <w:r w:rsidR="002B1E4D">
        <w:t xml:space="preserve">Cancer Council Queensland’s </w:t>
      </w:r>
      <w:r w:rsidR="00EC19D3">
        <w:t xml:space="preserve">(CCQ) </w:t>
      </w:r>
      <w:r w:rsidR="00B27CED">
        <w:t>Whistleblower</w:t>
      </w:r>
      <w:r w:rsidRPr="00C97C33">
        <w:t xml:space="preserve"> </w:t>
      </w:r>
      <w:r w:rsidR="00641E87" w:rsidRPr="00C97C33">
        <w:t>Guideline</w:t>
      </w:r>
      <w:r w:rsidRPr="00C97C33">
        <w:t xml:space="preserve"> and </w:t>
      </w:r>
      <w:r w:rsidR="00641E87" w:rsidRPr="00C97C33">
        <w:t xml:space="preserve">sets out </w:t>
      </w:r>
      <w:r w:rsidR="007E0851">
        <w:t xml:space="preserve">the procedure </w:t>
      </w:r>
      <w:r w:rsidR="00AF345D">
        <w:t xml:space="preserve">to be followed when a </w:t>
      </w:r>
      <w:r w:rsidR="009B73DD">
        <w:t>Misconduct</w:t>
      </w:r>
      <w:r w:rsidR="00AF345D">
        <w:t xml:space="preserve"> </w:t>
      </w:r>
      <w:r w:rsidR="006E5499">
        <w:t>D</w:t>
      </w:r>
      <w:r w:rsidR="00AF345D">
        <w:t>isclosure is made by a Whistleblower</w:t>
      </w:r>
      <w:r w:rsidR="009B73DD">
        <w:t xml:space="preserve"> </w:t>
      </w:r>
      <w:r w:rsidR="005F300D">
        <w:t>to an Internal Eligible Recipient</w:t>
      </w:r>
      <w:r w:rsidR="00224F9E">
        <w:t xml:space="preserve"> or by a Whistleblower to an External Eligible Recipient who then refers or reports the matter to </w:t>
      </w:r>
      <w:r w:rsidR="00ED30E7">
        <w:t xml:space="preserve">CCQ for a response or further investigation.  </w:t>
      </w:r>
      <w:r w:rsidR="000B73D0">
        <w:t>Individuals</w:t>
      </w:r>
      <w:r w:rsidR="006028F8">
        <w:t xml:space="preserve"> wishin</w:t>
      </w:r>
      <w:r w:rsidR="00B018D8">
        <w:t>g</w:t>
      </w:r>
      <w:r w:rsidR="006028F8">
        <w:t xml:space="preserve"> to make a </w:t>
      </w:r>
      <w:r w:rsidR="00880DDF">
        <w:t xml:space="preserve">disclosure </w:t>
      </w:r>
      <w:r w:rsidR="00D45DA4">
        <w:t xml:space="preserve">should first familiarise </w:t>
      </w:r>
      <w:r w:rsidR="006028F8">
        <w:t xml:space="preserve">themselves </w:t>
      </w:r>
      <w:r w:rsidR="00D45DA4">
        <w:t xml:space="preserve">with the Whistleblower Guideline to </w:t>
      </w:r>
      <w:r w:rsidR="008936C8">
        <w:t xml:space="preserve">ensure that </w:t>
      </w:r>
      <w:r w:rsidR="00D45DA4">
        <w:t>the disclos</w:t>
      </w:r>
      <w:r w:rsidR="0097518A">
        <w:t>ure</w:t>
      </w:r>
      <w:r w:rsidR="00D45DA4">
        <w:t xml:space="preserve"> is a Misconduct Disclosure</w:t>
      </w:r>
      <w:r w:rsidR="00B92A3B">
        <w:t xml:space="preserve"> and to determine </w:t>
      </w:r>
      <w:r w:rsidR="00AC21A0">
        <w:t>whether</w:t>
      </w:r>
      <w:r w:rsidR="00B92A3B">
        <w:t xml:space="preserve"> they are an Eligible Whistleblower </w:t>
      </w:r>
      <w:r w:rsidR="00AC21A0">
        <w:t>making a</w:t>
      </w:r>
      <w:r w:rsidR="00B92A3B">
        <w:t xml:space="preserve"> Protected Disclosure</w:t>
      </w:r>
      <w:r w:rsidR="00D45DA4">
        <w:t xml:space="preserve">. </w:t>
      </w:r>
    </w:p>
    <w:p w14:paraId="19725177" w14:textId="51ABEE83" w:rsidR="00CA3080" w:rsidRDefault="00CA3080" w:rsidP="00757BF2">
      <w:pPr>
        <w:pStyle w:val="NoSpacing"/>
        <w:jc w:val="both"/>
      </w:pPr>
    </w:p>
    <w:p w14:paraId="4BE9FED7" w14:textId="066EA78A" w:rsidR="00CA3080" w:rsidRPr="00C97C33" w:rsidRDefault="00CA3080" w:rsidP="00757BF2">
      <w:pPr>
        <w:pStyle w:val="NoSpacing"/>
        <w:jc w:val="both"/>
      </w:pPr>
      <w:r>
        <w:t xml:space="preserve">Please refer to Schedule 2 of the Whistleblower Guideline for a flowchart to assist </w:t>
      </w:r>
      <w:proofErr w:type="spellStart"/>
      <w:r>
        <w:t>Whistleblowers</w:t>
      </w:r>
      <w:proofErr w:type="spellEnd"/>
      <w:r>
        <w:t xml:space="preserve"> and Internal Eligible Recipients in understanding the basic steps that are to be followed when making or receiving a Misconduct Disclosure.</w:t>
      </w:r>
    </w:p>
    <w:p w14:paraId="5479950B" w14:textId="48BF1DA2" w:rsidR="00871AD9" w:rsidRDefault="00871AD9" w:rsidP="00757BF2">
      <w:pPr>
        <w:pStyle w:val="NoSpacing"/>
      </w:pPr>
    </w:p>
    <w:p w14:paraId="66E0A7AA" w14:textId="36C800B1" w:rsidR="00B16B80" w:rsidRPr="00757BF2" w:rsidRDefault="00B16B80" w:rsidP="00757BF2">
      <w:pPr>
        <w:pStyle w:val="NoSpacing"/>
        <w:rPr>
          <w:b/>
          <w:bCs/>
          <w:sz w:val="24"/>
          <w:szCs w:val="24"/>
        </w:rPr>
      </w:pPr>
      <w:r w:rsidRPr="00757BF2">
        <w:rPr>
          <w:b/>
          <w:bCs/>
          <w:sz w:val="24"/>
          <w:szCs w:val="24"/>
        </w:rPr>
        <w:t xml:space="preserve">DEFINITIONS </w:t>
      </w:r>
    </w:p>
    <w:p w14:paraId="31CF623D" w14:textId="77777777" w:rsidR="0072795D" w:rsidRPr="00D958BB" w:rsidRDefault="0072795D" w:rsidP="00757BF2">
      <w:pPr>
        <w:pStyle w:val="NoSpacing"/>
      </w:pPr>
    </w:p>
    <w:p w14:paraId="3F6F8C33" w14:textId="5E1E0B09" w:rsidR="00B16B80" w:rsidRDefault="00B16B80" w:rsidP="00757BF2">
      <w:pPr>
        <w:pStyle w:val="NoSpacing"/>
        <w:jc w:val="both"/>
      </w:pPr>
      <w:r w:rsidRPr="00D958BB">
        <w:t xml:space="preserve">Refer to </w:t>
      </w:r>
      <w:r w:rsidR="0097518A" w:rsidRPr="00D958BB">
        <w:t xml:space="preserve">Schedule 1 of </w:t>
      </w:r>
      <w:r w:rsidRPr="00D958BB">
        <w:t>the Whistleblower Guideline for</w:t>
      </w:r>
      <w:r w:rsidR="00523AD8" w:rsidRPr="00D958BB">
        <w:t xml:space="preserve"> definitions of</w:t>
      </w:r>
      <w:r w:rsidRPr="00D958BB">
        <w:t xml:space="preserve"> </w:t>
      </w:r>
      <w:r w:rsidR="00D958BB">
        <w:t>terms not defined in the body of this Procedure</w:t>
      </w:r>
      <w:r w:rsidRPr="00D958BB">
        <w:t>.</w:t>
      </w:r>
    </w:p>
    <w:p w14:paraId="5757B12B" w14:textId="77777777" w:rsidR="00ED70EA" w:rsidRPr="00C97C33" w:rsidRDefault="00ED70EA" w:rsidP="00757BF2">
      <w:pPr>
        <w:pStyle w:val="NoSpacing"/>
      </w:pPr>
    </w:p>
    <w:p w14:paraId="5B7B57E0" w14:textId="77777777" w:rsidR="00AB60F9" w:rsidRPr="00757BF2" w:rsidRDefault="00AB60F9" w:rsidP="00757BF2">
      <w:pPr>
        <w:pStyle w:val="NoSpacing"/>
        <w:rPr>
          <w:b/>
          <w:bCs/>
          <w:sz w:val="24"/>
          <w:szCs w:val="24"/>
        </w:rPr>
      </w:pPr>
      <w:r w:rsidRPr="00757BF2">
        <w:rPr>
          <w:b/>
          <w:bCs/>
          <w:sz w:val="24"/>
          <w:szCs w:val="24"/>
        </w:rPr>
        <w:t>RESPONSIBILITIES</w:t>
      </w:r>
    </w:p>
    <w:p w14:paraId="25E71F04" w14:textId="77777777" w:rsidR="00AB60F9" w:rsidRPr="000C6B79" w:rsidRDefault="00AB60F9" w:rsidP="00757BF2">
      <w:pPr>
        <w:pStyle w:val="NoSpacing"/>
      </w:pPr>
    </w:p>
    <w:p w14:paraId="2E9DB2D9" w14:textId="1BC4E1ED" w:rsidR="00AB60F9" w:rsidRDefault="00AB60F9" w:rsidP="00757BF2">
      <w:pPr>
        <w:pStyle w:val="NoSpacing"/>
        <w:jc w:val="both"/>
      </w:pPr>
      <w:r>
        <w:t xml:space="preserve">Each of the individuals and groups that have roles in the reporting, investigation, dissemination of findings and information and implementation of recommendations following an investigation </w:t>
      </w:r>
      <w:r w:rsidRPr="000C6B79">
        <w:t>is responsible for</w:t>
      </w:r>
      <w:r>
        <w:t xml:space="preserve"> their part in</w:t>
      </w:r>
      <w:r w:rsidRPr="000C6B79">
        <w:t xml:space="preserve"> the implementation of </w:t>
      </w:r>
      <w:r>
        <w:t>this</w:t>
      </w:r>
      <w:r w:rsidRPr="000C6B79">
        <w:t xml:space="preserve"> </w:t>
      </w:r>
      <w:r w:rsidR="00B16B80">
        <w:t>Procedure</w:t>
      </w:r>
      <w:r w:rsidRPr="000C6B79">
        <w:t>.</w:t>
      </w:r>
    </w:p>
    <w:p w14:paraId="46522178" w14:textId="77777777" w:rsidR="00871AD9" w:rsidRDefault="00871AD9" w:rsidP="00757BF2">
      <w:pPr>
        <w:pStyle w:val="NoSpacing"/>
      </w:pPr>
    </w:p>
    <w:p w14:paraId="425E7E74" w14:textId="01AED869" w:rsidR="00AF345D" w:rsidRPr="00757BF2" w:rsidRDefault="00A666A6" w:rsidP="00757BF2">
      <w:pPr>
        <w:pStyle w:val="NoSpacing"/>
        <w:rPr>
          <w:b/>
          <w:bCs/>
          <w:sz w:val="24"/>
          <w:szCs w:val="24"/>
        </w:rPr>
      </w:pPr>
      <w:r w:rsidRPr="00757BF2">
        <w:rPr>
          <w:b/>
          <w:bCs/>
          <w:sz w:val="24"/>
          <w:szCs w:val="24"/>
        </w:rPr>
        <w:t xml:space="preserve">REPORTING </w:t>
      </w:r>
      <w:r w:rsidR="006471D2" w:rsidRPr="00757BF2">
        <w:rPr>
          <w:b/>
          <w:bCs/>
          <w:sz w:val="24"/>
          <w:szCs w:val="24"/>
        </w:rPr>
        <w:t>MISCONDUCT DISCLOSURES</w:t>
      </w:r>
    </w:p>
    <w:p w14:paraId="3E2600DB" w14:textId="621C0BA1" w:rsidR="00AF345D" w:rsidRDefault="00AF345D" w:rsidP="00757BF2">
      <w:pPr>
        <w:pStyle w:val="NoSpacing"/>
      </w:pPr>
    </w:p>
    <w:p w14:paraId="31663B00" w14:textId="77777777" w:rsidR="007D5077" w:rsidRDefault="00AF345D" w:rsidP="00757BF2">
      <w:pPr>
        <w:pStyle w:val="NoSpacing"/>
        <w:jc w:val="both"/>
      </w:pPr>
      <w:r w:rsidRPr="000C6B79">
        <w:t xml:space="preserve">Where a </w:t>
      </w:r>
      <w:r>
        <w:t>Whistleblower</w:t>
      </w:r>
      <w:r w:rsidRPr="000C6B79">
        <w:t xml:space="preserve"> wishes to </w:t>
      </w:r>
      <w:r>
        <w:t>make a Misconduct Disclosure</w:t>
      </w:r>
      <w:r w:rsidR="003B15D1">
        <w:t xml:space="preserve"> internally</w:t>
      </w:r>
      <w:r w:rsidRPr="000C6B79">
        <w:t xml:space="preserve">, that </w:t>
      </w:r>
      <w:r>
        <w:t>Whistleblower</w:t>
      </w:r>
      <w:r w:rsidRPr="000C6B79">
        <w:t xml:space="preserve"> </w:t>
      </w:r>
      <w:r>
        <w:t>is encouraged to</w:t>
      </w:r>
      <w:r w:rsidRPr="000C6B79">
        <w:t xml:space="preserve"> report their concern to </w:t>
      </w:r>
      <w:r>
        <w:t>a</w:t>
      </w:r>
      <w:r w:rsidR="00C060D8">
        <w:t xml:space="preserve">n </w:t>
      </w:r>
      <w:r w:rsidR="003B15D1">
        <w:t xml:space="preserve">Internal </w:t>
      </w:r>
      <w:r w:rsidR="00C060D8">
        <w:t>Eligible</w:t>
      </w:r>
      <w:r>
        <w:t xml:space="preserve"> Recipient</w:t>
      </w:r>
      <w:r w:rsidR="002D7D6A">
        <w:t xml:space="preserve"> (in person, </w:t>
      </w:r>
      <w:r w:rsidR="0097518A">
        <w:t xml:space="preserve">by phone, </w:t>
      </w:r>
      <w:r w:rsidR="002D7D6A">
        <w:t>in writing or by submitting the on-line Whistleblower Form)</w:t>
      </w:r>
      <w:r>
        <w:t xml:space="preserve">. </w:t>
      </w:r>
      <w:r w:rsidR="00996600">
        <w:t xml:space="preserve"> </w:t>
      </w:r>
      <w:r w:rsidR="00BA3602">
        <w:t xml:space="preserve">The Whistleblower must inform the </w:t>
      </w:r>
      <w:r w:rsidR="00553128">
        <w:t xml:space="preserve">Internal </w:t>
      </w:r>
      <w:r w:rsidR="00BA3602">
        <w:t>Eligible Recipient that they wish to make a report under the Whistleblower Guideline.</w:t>
      </w:r>
      <w:r w:rsidR="00534A29">
        <w:t xml:space="preserve">  </w:t>
      </w:r>
    </w:p>
    <w:p w14:paraId="1D296591" w14:textId="77777777" w:rsidR="007D5077" w:rsidRDefault="007D5077" w:rsidP="00757BF2">
      <w:pPr>
        <w:pStyle w:val="NoSpacing"/>
        <w:jc w:val="both"/>
      </w:pPr>
    </w:p>
    <w:p w14:paraId="511A53C3" w14:textId="093774F9" w:rsidR="002B1E4D" w:rsidRDefault="00534A29" w:rsidP="00757BF2">
      <w:pPr>
        <w:pStyle w:val="NoSpacing"/>
        <w:jc w:val="both"/>
      </w:pPr>
      <w:r>
        <w:t>If a CCQ employee</w:t>
      </w:r>
      <w:r w:rsidR="007D553C">
        <w:t>,</w:t>
      </w:r>
      <w:r>
        <w:t xml:space="preserve"> who is not an Internal Eligible </w:t>
      </w:r>
      <w:r w:rsidR="00B766AB">
        <w:t>Recipient</w:t>
      </w:r>
      <w:r w:rsidR="007D553C">
        <w:t>, is put on notice of a potential Misconduct Disclosure</w:t>
      </w:r>
      <w:r w:rsidR="00B766AB">
        <w:t>,</w:t>
      </w:r>
      <w:r>
        <w:t xml:space="preserve"> </w:t>
      </w:r>
      <w:r w:rsidR="007D553C">
        <w:t>that employee should not accept the disclosure but</w:t>
      </w:r>
      <w:r>
        <w:t xml:space="preserve"> should </w:t>
      </w:r>
      <w:r w:rsidR="007D553C">
        <w:t xml:space="preserve">instead </w:t>
      </w:r>
      <w:r>
        <w:t xml:space="preserve">direct the Whistleblower to an appropriate Internal Eligible Recipient.  The protections available for </w:t>
      </w:r>
      <w:proofErr w:type="spellStart"/>
      <w:r>
        <w:t>Whistleblowers</w:t>
      </w:r>
      <w:proofErr w:type="spellEnd"/>
      <w:r>
        <w:t xml:space="preserve"> (as set out in the Guideline under the “Protection of </w:t>
      </w:r>
      <w:proofErr w:type="spellStart"/>
      <w:r>
        <w:t>Whistleblowers</w:t>
      </w:r>
      <w:proofErr w:type="spellEnd"/>
      <w:r>
        <w:t xml:space="preserve">” section) </w:t>
      </w:r>
      <w:r w:rsidR="007D5077">
        <w:t>are only</w:t>
      </w:r>
      <w:r>
        <w:t xml:space="preserve"> available if </w:t>
      </w:r>
      <w:r w:rsidR="007D5077">
        <w:t>the Whistleblower makes the Misconduct</w:t>
      </w:r>
      <w:r>
        <w:t xml:space="preserve"> </w:t>
      </w:r>
      <w:r w:rsidR="007D5077">
        <w:t>D</w:t>
      </w:r>
      <w:r>
        <w:t xml:space="preserve">isclosure </w:t>
      </w:r>
      <w:r w:rsidR="007D5077">
        <w:t xml:space="preserve">directly to </w:t>
      </w:r>
      <w:r>
        <w:t>an Eligible Recipient.</w:t>
      </w:r>
      <w:r w:rsidR="005A4D7D">
        <w:t xml:space="preserve"> </w:t>
      </w:r>
    </w:p>
    <w:p w14:paraId="2F8F32CC" w14:textId="239C9ABF" w:rsidR="0058254F" w:rsidRDefault="0058254F" w:rsidP="00757BF2">
      <w:pPr>
        <w:pStyle w:val="NoSpacing"/>
        <w:jc w:val="both"/>
      </w:pPr>
    </w:p>
    <w:p w14:paraId="49E954AC" w14:textId="50CE11E1" w:rsidR="0058254F" w:rsidRDefault="0058254F" w:rsidP="00757BF2">
      <w:pPr>
        <w:pStyle w:val="NoSpacing"/>
        <w:jc w:val="both"/>
      </w:pPr>
      <w:r>
        <w:t xml:space="preserve">If </w:t>
      </w:r>
      <w:r w:rsidR="003C2816">
        <w:t xml:space="preserve">an individual who is an Internal Eligible Recipient at the time of </w:t>
      </w:r>
      <w:r w:rsidR="00E77440">
        <w:t xml:space="preserve">receiving a Misconduct Disclosure </w:t>
      </w:r>
      <w:r w:rsidR="003C2816">
        <w:t xml:space="preserve">ceases </w:t>
      </w:r>
      <w:r w:rsidR="00E77440">
        <w:t xml:space="preserve">to satisfy that definition </w:t>
      </w:r>
      <w:r w:rsidR="001D08D1">
        <w:t>(</w:t>
      </w:r>
      <w:proofErr w:type="gramStart"/>
      <w:r w:rsidR="001D08D1">
        <w:t>e.g.</w:t>
      </w:r>
      <w:proofErr w:type="gramEnd"/>
      <w:r w:rsidR="001D08D1">
        <w:t xml:space="preserve"> the individual is no longer a CCQ employee)</w:t>
      </w:r>
      <w:r w:rsidR="0096719B">
        <w:t>,</w:t>
      </w:r>
      <w:r w:rsidR="001D08D1">
        <w:t xml:space="preserve"> </w:t>
      </w:r>
      <w:r w:rsidR="001D50E2">
        <w:t xml:space="preserve">prior to the outcomes being provided to the </w:t>
      </w:r>
      <w:r w:rsidR="00287E86">
        <w:t>Whistleblower</w:t>
      </w:r>
      <w:r w:rsidR="001D08D1">
        <w:t xml:space="preserve"> </w:t>
      </w:r>
      <w:r w:rsidR="006D04B1">
        <w:t xml:space="preserve">(see the ‘Findings’ section below), </w:t>
      </w:r>
      <w:r w:rsidR="001D08D1">
        <w:t xml:space="preserve">the </w:t>
      </w:r>
      <w:r w:rsidR="00067432">
        <w:t>individual must give the Whistleblower an opportunity to select and communicate with an alternative Internal Eligible Recipient.</w:t>
      </w:r>
      <w:r w:rsidR="00287E86">
        <w:t xml:space="preserve"> </w:t>
      </w:r>
    </w:p>
    <w:p w14:paraId="39F8B1DE" w14:textId="77777777" w:rsidR="006340B4" w:rsidRPr="000E078D" w:rsidRDefault="006340B4" w:rsidP="000E078D">
      <w:pPr>
        <w:pStyle w:val="NoSpacing"/>
        <w:rPr>
          <w:lang w:eastAsia="en-AU"/>
        </w:rPr>
      </w:pPr>
    </w:p>
    <w:p w14:paraId="737E32CB" w14:textId="17372C02" w:rsidR="00C060D8" w:rsidRDefault="00C060D8" w:rsidP="00757BF2">
      <w:pPr>
        <w:pStyle w:val="NoSpacing"/>
        <w:jc w:val="both"/>
      </w:pPr>
      <w:proofErr w:type="spellStart"/>
      <w:r>
        <w:lastRenderedPageBreak/>
        <w:t>Whistleblower</w:t>
      </w:r>
      <w:r w:rsidR="00780DBA">
        <w:t>s</w:t>
      </w:r>
      <w:proofErr w:type="spellEnd"/>
      <w:r w:rsidR="00780DBA">
        <w:t xml:space="preserve"> </w:t>
      </w:r>
      <w:r w:rsidR="0072795D">
        <w:t>will have the option to</w:t>
      </w:r>
      <w:r w:rsidR="00780DBA">
        <w:t xml:space="preserve"> make </w:t>
      </w:r>
      <w:r>
        <w:t>a Misconduct Disclosure anonymously</w:t>
      </w:r>
      <w:r w:rsidR="0072795D">
        <w:t xml:space="preserve"> (or using a pseudonym), securely and outside of business hours</w:t>
      </w:r>
      <w:r w:rsidR="002B1025">
        <w:t xml:space="preserve">.  </w:t>
      </w:r>
      <w:proofErr w:type="spellStart"/>
      <w:r w:rsidR="002B1025">
        <w:t>Whistleblowers</w:t>
      </w:r>
      <w:proofErr w:type="spellEnd"/>
      <w:r w:rsidR="002B1025">
        <w:t xml:space="preserve"> may wish to use </w:t>
      </w:r>
      <w:r w:rsidR="0072795D">
        <w:t xml:space="preserve">the </w:t>
      </w:r>
      <w:r w:rsidR="00FF4CB2">
        <w:t>Whistl</w:t>
      </w:r>
      <w:r w:rsidR="00534A29">
        <w:t>e</w:t>
      </w:r>
      <w:r w:rsidR="00FF4CB2">
        <w:t>blower F</w:t>
      </w:r>
      <w:r w:rsidR="0072795D">
        <w:t>orm available on CCQ’s website</w:t>
      </w:r>
      <w:r w:rsidR="00023C6C">
        <w:t xml:space="preserve"> for that purpose</w:t>
      </w:r>
      <w:r w:rsidR="0072795D">
        <w:t xml:space="preserve">.  </w:t>
      </w:r>
      <w:r w:rsidR="00023C6C" w:rsidRPr="00023C6C">
        <w:t>If a disclosure comes from an email address</w:t>
      </w:r>
      <w:r w:rsidR="00023C6C">
        <w:t xml:space="preserve"> or phone number</w:t>
      </w:r>
      <w:r w:rsidR="00023C6C" w:rsidRPr="00023C6C">
        <w:t xml:space="preserve"> from which the person’s identity</w:t>
      </w:r>
      <w:r w:rsidR="00023C6C">
        <w:t xml:space="preserve"> </w:t>
      </w:r>
      <w:r w:rsidR="00023C6C" w:rsidRPr="00023C6C">
        <w:t xml:space="preserve">cannot be determined, and the </w:t>
      </w:r>
      <w:r w:rsidR="00023C6C">
        <w:t>Whistleblower</w:t>
      </w:r>
      <w:r w:rsidR="00023C6C" w:rsidRPr="00023C6C">
        <w:t xml:space="preserve"> does not identify themselves in the</w:t>
      </w:r>
      <w:r w:rsidR="00023C6C">
        <w:t xml:space="preserve"> </w:t>
      </w:r>
      <w:r w:rsidR="00023C6C" w:rsidRPr="00023C6C">
        <w:t>email</w:t>
      </w:r>
      <w:r w:rsidR="00023C6C">
        <w:t xml:space="preserve"> or phone call</w:t>
      </w:r>
      <w:r w:rsidR="00023C6C" w:rsidRPr="00023C6C">
        <w:t xml:space="preserve">, it </w:t>
      </w:r>
      <w:r w:rsidR="00023C6C">
        <w:t>will also</w:t>
      </w:r>
      <w:r w:rsidR="00023C6C" w:rsidRPr="00023C6C">
        <w:t xml:space="preserve"> be treated as an anonymous disclosure. </w:t>
      </w:r>
      <w:r w:rsidR="002E3780">
        <w:t xml:space="preserve"> </w:t>
      </w:r>
      <w:r w:rsidR="00DF2C76">
        <w:t>A</w:t>
      </w:r>
      <w:r w:rsidR="00DF2C76" w:rsidRPr="002F296C">
        <w:t xml:space="preserve"> </w:t>
      </w:r>
      <w:r w:rsidR="00DF2C76">
        <w:t>Whistleblower</w:t>
      </w:r>
      <w:r w:rsidR="00DF2C76" w:rsidRPr="002F296C">
        <w:t xml:space="preserve"> </w:t>
      </w:r>
      <w:r w:rsidR="00DF2C76">
        <w:t xml:space="preserve">may also </w:t>
      </w:r>
      <w:r w:rsidR="00DF2C76" w:rsidRPr="002F296C">
        <w:t>refuse to answer questions that they feel could reveal their identity</w:t>
      </w:r>
      <w:r w:rsidR="00DF2C76">
        <w:t xml:space="preserve">.  </w:t>
      </w:r>
      <w:r w:rsidR="0072795D">
        <w:t>H</w:t>
      </w:r>
      <w:r w:rsidR="00780DBA">
        <w:t>owever</w:t>
      </w:r>
      <w:r w:rsidR="0072795D">
        <w:t>,</w:t>
      </w:r>
      <w:r>
        <w:t xml:space="preserve"> </w:t>
      </w:r>
      <w:r w:rsidR="00780DBA">
        <w:t xml:space="preserve">CCQ encourages </w:t>
      </w:r>
      <w:proofErr w:type="spellStart"/>
      <w:r w:rsidR="00780DBA">
        <w:t>Whist</w:t>
      </w:r>
      <w:r w:rsidR="00A5453A">
        <w:t>le</w:t>
      </w:r>
      <w:r w:rsidR="00780DBA">
        <w:t>blowers</w:t>
      </w:r>
      <w:proofErr w:type="spellEnd"/>
      <w:r w:rsidR="00780DBA">
        <w:t xml:space="preserve"> to disclose their name</w:t>
      </w:r>
      <w:r w:rsidR="00DF2C76">
        <w:t xml:space="preserve"> and contact details</w:t>
      </w:r>
      <w:r w:rsidR="00780DBA">
        <w:t xml:space="preserve"> to help the </w:t>
      </w:r>
      <w:r w:rsidR="006028F8" w:rsidRPr="008953EA">
        <w:rPr>
          <w:bCs/>
        </w:rPr>
        <w:t>Protected Disclosure Committee</w:t>
      </w:r>
      <w:r w:rsidR="006028F8">
        <w:rPr>
          <w:bCs/>
        </w:rPr>
        <w:t xml:space="preserve"> (</w:t>
      </w:r>
      <w:r w:rsidR="00780DBA" w:rsidRPr="006028F8">
        <w:rPr>
          <w:bCs/>
        </w:rPr>
        <w:t>PDC</w:t>
      </w:r>
      <w:r w:rsidR="006028F8">
        <w:t>)</w:t>
      </w:r>
      <w:r w:rsidR="00780DBA">
        <w:t xml:space="preserve"> </w:t>
      </w:r>
      <w:r w:rsidR="001E2CE6">
        <w:t>to fully investigate the allegations being made</w:t>
      </w:r>
      <w:r w:rsidR="00DF2C76">
        <w:t xml:space="preserve"> and provide the Whistleblower with protection</w:t>
      </w:r>
      <w:r w:rsidR="0097518A">
        <w:t>,</w:t>
      </w:r>
      <w:r w:rsidR="00DF2C76">
        <w:t xml:space="preserve"> </w:t>
      </w:r>
      <w:proofErr w:type="gramStart"/>
      <w:r w:rsidR="00DF2C76">
        <w:t>support</w:t>
      </w:r>
      <w:proofErr w:type="gramEnd"/>
      <w:r w:rsidR="0097518A">
        <w:t xml:space="preserve"> and updates on the progress of and outcomes of the investigation</w:t>
      </w:r>
      <w:r w:rsidR="001E2CE6">
        <w:t>.</w:t>
      </w:r>
    </w:p>
    <w:p w14:paraId="3AA00ABD" w14:textId="77777777" w:rsidR="007D5077" w:rsidRDefault="007D5077" w:rsidP="00757BF2">
      <w:pPr>
        <w:pStyle w:val="NoSpacing"/>
        <w:jc w:val="both"/>
      </w:pPr>
    </w:p>
    <w:p w14:paraId="63420D1F" w14:textId="26192926" w:rsidR="00AF345D" w:rsidRPr="000C6B79" w:rsidRDefault="00AF345D" w:rsidP="00757BF2">
      <w:pPr>
        <w:pStyle w:val="NoSpacing"/>
        <w:jc w:val="both"/>
      </w:pPr>
      <w:r>
        <w:t>Misconduct Disclosure</w:t>
      </w:r>
      <w:r w:rsidR="00023C6C">
        <w:t>s</w:t>
      </w:r>
      <w:r w:rsidRPr="000C6B79">
        <w:t xml:space="preserve"> should</w:t>
      </w:r>
      <w:r w:rsidR="00023C6C">
        <w:t>,</w:t>
      </w:r>
      <w:r w:rsidRPr="000C6B79">
        <w:t xml:space="preserve"> where possible</w:t>
      </w:r>
      <w:r w:rsidR="00023C6C">
        <w:t>,</w:t>
      </w:r>
      <w:r w:rsidRPr="000C6B79">
        <w:t xml:space="preserve"> be in writing and should contain, as appropriate, details of</w:t>
      </w:r>
      <w:r>
        <w:t>:</w:t>
      </w:r>
    </w:p>
    <w:p w14:paraId="77FE5146" w14:textId="77777777" w:rsidR="00AF345D" w:rsidRPr="000C6B79" w:rsidRDefault="00AF345D" w:rsidP="00757BF2">
      <w:pPr>
        <w:pStyle w:val="NoSpacing"/>
      </w:pPr>
    </w:p>
    <w:p w14:paraId="7280E3A9" w14:textId="77777777" w:rsidR="00AF345D" w:rsidRPr="000C6B79" w:rsidRDefault="00AF345D" w:rsidP="00757BF2">
      <w:pPr>
        <w:pStyle w:val="NoSpacing"/>
        <w:numPr>
          <w:ilvl w:val="0"/>
          <w:numId w:val="17"/>
        </w:numPr>
        <w:jc w:val="both"/>
      </w:pPr>
      <w:r w:rsidRPr="000C6B79">
        <w:t xml:space="preserve">the nature of the alleged </w:t>
      </w:r>
      <w:proofErr w:type="gramStart"/>
      <w:r>
        <w:t>misconduct</w:t>
      </w:r>
      <w:r w:rsidRPr="000C6B79">
        <w:t>;</w:t>
      </w:r>
      <w:proofErr w:type="gramEnd"/>
    </w:p>
    <w:p w14:paraId="55AAC6B3" w14:textId="77777777" w:rsidR="00AF345D" w:rsidRPr="000C6B79" w:rsidRDefault="00AF345D" w:rsidP="00757BF2">
      <w:pPr>
        <w:pStyle w:val="NoSpacing"/>
        <w:numPr>
          <w:ilvl w:val="0"/>
          <w:numId w:val="17"/>
        </w:numPr>
        <w:jc w:val="both"/>
      </w:pPr>
      <w:r w:rsidRPr="000C6B79">
        <w:t xml:space="preserve">the person or persons responsible for the </w:t>
      </w:r>
      <w:proofErr w:type="gramStart"/>
      <w:r>
        <w:t>misconduct</w:t>
      </w:r>
      <w:r w:rsidRPr="000C6B79">
        <w:t>;</w:t>
      </w:r>
      <w:proofErr w:type="gramEnd"/>
      <w:r w:rsidRPr="000C6B79">
        <w:t xml:space="preserve"> </w:t>
      </w:r>
    </w:p>
    <w:p w14:paraId="1395A80F" w14:textId="77777777" w:rsidR="00AF345D" w:rsidRPr="000C6B79" w:rsidRDefault="00AF345D" w:rsidP="00757BF2">
      <w:pPr>
        <w:pStyle w:val="NoSpacing"/>
        <w:numPr>
          <w:ilvl w:val="0"/>
          <w:numId w:val="17"/>
        </w:numPr>
        <w:jc w:val="both"/>
      </w:pPr>
      <w:r w:rsidRPr="000C6B79">
        <w:t xml:space="preserve">the facts on which the </w:t>
      </w:r>
      <w:r>
        <w:t xml:space="preserve">Whistleblower’s </w:t>
      </w:r>
      <w:r w:rsidRPr="000C6B79">
        <w:t xml:space="preserve">belief that </w:t>
      </w:r>
      <w:r>
        <w:t>misconduct</w:t>
      </w:r>
      <w:r w:rsidRPr="000C6B79">
        <w:t xml:space="preserve"> has occurred, and has been committed by the person</w:t>
      </w:r>
      <w:r>
        <w:t>/s</w:t>
      </w:r>
      <w:r w:rsidRPr="000C6B79">
        <w:t xml:space="preserve"> named, are founded;</w:t>
      </w:r>
      <w:r>
        <w:t xml:space="preserve"> and</w:t>
      </w:r>
    </w:p>
    <w:p w14:paraId="6F5CF18E" w14:textId="1987762A" w:rsidR="00AF345D" w:rsidRPr="000C6B79" w:rsidRDefault="00AF345D" w:rsidP="00757BF2">
      <w:pPr>
        <w:pStyle w:val="NoSpacing"/>
        <w:numPr>
          <w:ilvl w:val="0"/>
          <w:numId w:val="17"/>
        </w:numPr>
        <w:jc w:val="both"/>
      </w:pPr>
      <w:r w:rsidRPr="000C6B79">
        <w:t xml:space="preserve">the nature and whereabouts of any further evidence that would substantiate the </w:t>
      </w:r>
      <w:r>
        <w:t>Whistleblower’s</w:t>
      </w:r>
      <w:r w:rsidRPr="000C6B79">
        <w:t xml:space="preserve"> allegations, if known.</w:t>
      </w:r>
    </w:p>
    <w:p w14:paraId="672DE1FA" w14:textId="77777777" w:rsidR="00757BF2" w:rsidRDefault="00757BF2" w:rsidP="00757BF2">
      <w:pPr>
        <w:pStyle w:val="NoSpacing"/>
      </w:pPr>
    </w:p>
    <w:p w14:paraId="0D185A05" w14:textId="2762ABCF" w:rsidR="0072795D" w:rsidRPr="008953EA" w:rsidRDefault="00AF345D" w:rsidP="00757BF2">
      <w:pPr>
        <w:pStyle w:val="NoSpacing"/>
        <w:jc w:val="both"/>
      </w:pPr>
      <w:r w:rsidRPr="000C6B79">
        <w:t xml:space="preserve">Evidence to support </w:t>
      </w:r>
      <w:r>
        <w:t>the Misconduct Disclosure</w:t>
      </w:r>
      <w:r w:rsidRPr="000C6B79">
        <w:t xml:space="preserve"> should be </w:t>
      </w:r>
      <w:r w:rsidR="00523AD8">
        <w:t>provided</w:t>
      </w:r>
      <w:r w:rsidRPr="000C6B79">
        <w:t xml:space="preserve"> </w:t>
      </w:r>
      <w:r>
        <w:t xml:space="preserve">by the Whistleblower </w:t>
      </w:r>
      <w:r w:rsidRPr="000C6B79">
        <w:t xml:space="preserve">at this </w:t>
      </w:r>
      <w:proofErr w:type="gramStart"/>
      <w:r w:rsidRPr="000C6B79">
        <w:t>time</w:t>
      </w:r>
      <w:r>
        <w:t>,</w:t>
      </w:r>
      <w:r w:rsidRPr="000C6B79">
        <w:t xml:space="preserve"> if</w:t>
      </w:r>
      <w:proofErr w:type="gramEnd"/>
      <w:r w:rsidRPr="000C6B79">
        <w:t xml:space="preserve"> it exists.  The absence of such evidence will be </w:t>
      </w:r>
      <w:proofErr w:type="gramStart"/>
      <w:r w:rsidRPr="000C6B79">
        <w:t>taken into account</w:t>
      </w:r>
      <w:proofErr w:type="gramEnd"/>
      <w:r w:rsidRPr="000C6B79">
        <w:t xml:space="preserve"> in </w:t>
      </w:r>
      <w:r w:rsidR="00523AD8">
        <w:t xml:space="preserve">deciding </w:t>
      </w:r>
      <w:r w:rsidRPr="000C6B79">
        <w:t xml:space="preserve">whether to open an investigation into the matter.  However, absence of such evidence is not an absolute bar to the activation of </w:t>
      </w:r>
      <w:r>
        <w:t>CCQ’s</w:t>
      </w:r>
      <w:r w:rsidRPr="000C6B79">
        <w:t xml:space="preserve"> investigative procedures.  The </w:t>
      </w:r>
      <w:r>
        <w:t>Misconduct Disclosure</w:t>
      </w:r>
      <w:r w:rsidRPr="000C6B79">
        <w:t xml:space="preserve"> is sufficient to trigger reporting responsibilities</w:t>
      </w:r>
      <w:r w:rsidR="00023C6C">
        <w:t xml:space="preserve"> as set out under the heading “Notification and Reports” below</w:t>
      </w:r>
      <w:r w:rsidRPr="000C6B79">
        <w:t>.</w:t>
      </w:r>
    </w:p>
    <w:p w14:paraId="39834F1F" w14:textId="77777777" w:rsidR="00757BF2" w:rsidRDefault="00757BF2" w:rsidP="00757BF2">
      <w:pPr>
        <w:pStyle w:val="NoSpacing"/>
        <w:rPr>
          <w:bCs/>
        </w:rPr>
      </w:pPr>
    </w:p>
    <w:p w14:paraId="57A03447" w14:textId="664328DB" w:rsidR="0072795D" w:rsidRPr="00757BF2" w:rsidRDefault="0072795D" w:rsidP="00757BF2">
      <w:pPr>
        <w:pStyle w:val="NoSpacing"/>
        <w:rPr>
          <w:b/>
          <w:sz w:val="24"/>
          <w:szCs w:val="24"/>
        </w:rPr>
      </w:pPr>
      <w:r w:rsidRPr="00757BF2">
        <w:rPr>
          <w:b/>
          <w:sz w:val="24"/>
          <w:szCs w:val="24"/>
        </w:rPr>
        <w:t>PROTECTED DISCLOSURE COMMITTEE</w:t>
      </w:r>
    </w:p>
    <w:p w14:paraId="34D00283" w14:textId="77777777" w:rsidR="0072795D" w:rsidRPr="008953EA" w:rsidRDefault="0072795D" w:rsidP="00757BF2">
      <w:pPr>
        <w:pStyle w:val="NoSpacing"/>
        <w:rPr>
          <w:bCs/>
        </w:rPr>
      </w:pPr>
    </w:p>
    <w:p w14:paraId="58A41176" w14:textId="7E5381F3" w:rsidR="00086CB8" w:rsidRDefault="0072795D" w:rsidP="00086CB8">
      <w:pPr>
        <w:pStyle w:val="NoSpacing"/>
        <w:jc w:val="both"/>
      </w:pPr>
      <w:r>
        <w:t xml:space="preserve">Misconduct Disclosures </w:t>
      </w:r>
      <w:r w:rsidR="00733C72">
        <w:t xml:space="preserve">through the </w:t>
      </w:r>
      <w:r w:rsidR="00FF4CB2">
        <w:t>online Whistleblower F</w:t>
      </w:r>
      <w:r w:rsidR="00733C72">
        <w:t xml:space="preserve">orm will be sent directly to CCQ’s Whistleblower Officer (CCQ’s Chief Financial Officer).  Alternatively, if the disclosure is to an </w:t>
      </w:r>
      <w:r w:rsidR="00CE6BAC">
        <w:t xml:space="preserve">Internal </w:t>
      </w:r>
      <w:r w:rsidR="00733C72">
        <w:t xml:space="preserve">Eligible Recipient, </w:t>
      </w:r>
      <w:r>
        <w:t xml:space="preserve">the </w:t>
      </w:r>
      <w:r w:rsidR="00CE6BAC">
        <w:t xml:space="preserve">Internal </w:t>
      </w:r>
      <w:r>
        <w:t>Eligible Recipient will</w:t>
      </w:r>
      <w:r w:rsidR="00553128">
        <w:t>,</w:t>
      </w:r>
      <w:r>
        <w:t xml:space="preserve"> </w:t>
      </w:r>
      <w:r w:rsidR="00733C72">
        <w:t xml:space="preserve">as soon </w:t>
      </w:r>
      <w:r w:rsidR="00B766AB">
        <w:t>as</w:t>
      </w:r>
      <w:r w:rsidR="00733C72">
        <w:t xml:space="preserve"> practicable</w:t>
      </w:r>
      <w:r w:rsidR="00553128">
        <w:t>,</w:t>
      </w:r>
      <w:r w:rsidR="00733C72">
        <w:t xml:space="preserve"> </w:t>
      </w:r>
      <w:r w:rsidR="008E24B1">
        <w:t>inform</w:t>
      </w:r>
      <w:r>
        <w:t xml:space="preserve"> </w:t>
      </w:r>
      <w:r w:rsidR="00553128">
        <w:t>the Whistleblower Officer</w:t>
      </w:r>
      <w:r>
        <w:t>.</w:t>
      </w:r>
      <w:r w:rsidR="008E24B1">
        <w:t xml:space="preserve">  </w:t>
      </w:r>
      <w:r w:rsidR="00086CB8">
        <w:t xml:space="preserve">Internal Eligible Recipients may wish to assist a Whistleblower to fill out and submit the Whistleblower Form so that all relevant information is captured and provided to the </w:t>
      </w:r>
      <w:r w:rsidR="00D91316">
        <w:t>Whistleblower Officer.</w:t>
      </w:r>
    </w:p>
    <w:p w14:paraId="293ED1E2" w14:textId="77777777" w:rsidR="00086CB8" w:rsidRDefault="00086CB8" w:rsidP="00086CB8">
      <w:pPr>
        <w:pStyle w:val="NoSpacing"/>
        <w:jc w:val="both"/>
      </w:pPr>
    </w:p>
    <w:p w14:paraId="4739F51F" w14:textId="39360203" w:rsidR="000D2A9D" w:rsidRDefault="008E24B1" w:rsidP="00757BF2">
      <w:pPr>
        <w:pStyle w:val="NoSpacing"/>
        <w:jc w:val="both"/>
      </w:pPr>
      <w:r>
        <w:t xml:space="preserve">If the Whistleblower Officer is the subject of the </w:t>
      </w:r>
      <w:r w:rsidR="00B766AB">
        <w:t>disclosure,</w:t>
      </w:r>
      <w:r>
        <w:t xml:space="preserve"> then the </w:t>
      </w:r>
      <w:r w:rsidR="000D2A9D">
        <w:t xml:space="preserve">Whistleblower Form will instead be sent to, or the </w:t>
      </w:r>
      <w:r>
        <w:t>Internal Eligible Recipient will instead inform</w:t>
      </w:r>
      <w:r w:rsidR="000D2A9D">
        <w:t>:</w:t>
      </w:r>
    </w:p>
    <w:p w14:paraId="1FE70EF1" w14:textId="6D439A9B" w:rsidR="000D2A9D" w:rsidRDefault="008E24B1" w:rsidP="000D2A9D">
      <w:pPr>
        <w:pStyle w:val="NoSpacing"/>
        <w:numPr>
          <w:ilvl w:val="0"/>
          <w:numId w:val="25"/>
        </w:numPr>
        <w:jc w:val="both"/>
      </w:pPr>
      <w:r>
        <w:t xml:space="preserve">the </w:t>
      </w:r>
      <w:r w:rsidR="000D2A9D">
        <w:t xml:space="preserve">General Manager, People </w:t>
      </w:r>
      <w:r w:rsidR="00822F71">
        <w:t>(Employment and Volunteering</w:t>
      </w:r>
      <w:proofErr w:type="gramStart"/>
      <w:r w:rsidR="00822F71">
        <w:t>)</w:t>
      </w:r>
      <w:r w:rsidR="000D2A9D">
        <w:t>;</w:t>
      </w:r>
      <w:proofErr w:type="gramEnd"/>
    </w:p>
    <w:p w14:paraId="7627E10D" w14:textId="77777777" w:rsidR="000D2A9D" w:rsidRDefault="000D2A9D" w:rsidP="000D2A9D">
      <w:pPr>
        <w:pStyle w:val="NoSpacing"/>
        <w:numPr>
          <w:ilvl w:val="0"/>
          <w:numId w:val="25"/>
        </w:numPr>
        <w:jc w:val="both"/>
      </w:pPr>
      <w:r>
        <w:t xml:space="preserve">the Chief Executive Officer; or </w:t>
      </w:r>
    </w:p>
    <w:p w14:paraId="712C72AB" w14:textId="77777777" w:rsidR="000D2A9D" w:rsidRDefault="000D2A9D" w:rsidP="000D2A9D">
      <w:pPr>
        <w:pStyle w:val="NoSpacing"/>
        <w:numPr>
          <w:ilvl w:val="0"/>
          <w:numId w:val="25"/>
        </w:numPr>
        <w:jc w:val="both"/>
      </w:pPr>
      <w:r>
        <w:t>the Chair of the Board,</w:t>
      </w:r>
    </w:p>
    <w:p w14:paraId="4AFB4892" w14:textId="2B093BC8" w:rsidR="0072795D" w:rsidRDefault="000D2A9D" w:rsidP="00E758A2">
      <w:pPr>
        <w:pStyle w:val="NoSpacing"/>
        <w:jc w:val="both"/>
      </w:pPr>
      <w:r>
        <w:t>as appropriate</w:t>
      </w:r>
      <w:r w:rsidR="00254E4D">
        <w:t>,</w:t>
      </w:r>
      <w:r>
        <w:t xml:space="preserve"> depending on whether any of those individuals are involved</w:t>
      </w:r>
      <w:r w:rsidR="008E24B1">
        <w:t>.</w:t>
      </w:r>
      <w:r>
        <w:t xml:space="preserve">  </w:t>
      </w:r>
    </w:p>
    <w:p w14:paraId="251BEBDF" w14:textId="77777777" w:rsidR="0072795D" w:rsidRDefault="0072795D" w:rsidP="00757BF2">
      <w:pPr>
        <w:pStyle w:val="NoSpacing"/>
      </w:pPr>
    </w:p>
    <w:p w14:paraId="3B3493E4" w14:textId="68F82AF0" w:rsidR="0072795D" w:rsidRDefault="00733C72" w:rsidP="00757BF2">
      <w:pPr>
        <w:pStyle w:val="NoSpacing"/>
        <w:jc w:val="both"/>
      </w:pPr>
      <w:r>
        <w:t xml:space="preserve">The Whistleblower Officer and the </w:t>
      </w:r>
      <w:r w:rsidRPr="000C6B79">
        <w:t xml:space="preserve">General Manager, People </w:t>
      </w:r>
      <w:r w:rsidR="00254E4D">
        <w:t xml:space="preserve">(Employment and Volunteering) </w:t>
      </w:r>
      <w:r>
        <w:t xml:space="preserve">will constitute the </w:t>
      </w:r>
      <w:r w:rsidRPr="006028F8">
        <w:rPr>
          <w:bCs/>
        </w:rPr>
        <w:t>PDC</w:t>
      </w:r>
      <w:r>
        <w:rPr>
          <w:bCs/>
        </w:rPr>
        <w:t xml:space="preserve">.  </w:t>
      </w:r>
      <w:r w:rsidR="0072795D">
        <w:t xml:space="preserve">If the Misconduct Disclosure relates to the Whistleblower Officer and/or the </w:t>
      </w:r>
      <w:r w:rsidR="0072795D" w:rsidRPr="000C6B79">
        <w:t xml:space="preserve">General Manager, People </w:t>
      </w:r>
      <w:r w:rsidR="001A47C7">
        <w:t>(Employment and Volunteering)</w:t>
      </w:r>
      <w:r w:rsidR="0072795D">
        <w:t>, th</w:t>
      </w:r>
      <w:r w:rsidR="002A2A10">
        <w:t xml:space="preserve">at person will not be a member of </w:t>
      </w:r>
      <w:r w:rsidR="002A2A10">
        <w:lastRenderedPageBreak/>
        <w:t xml:space="preserve">the PDC and the </w:t>
      </w:r>
      <w:r w:rsidR="0072795D">
        <w:t xml:space="preserve">PDC will instead consist of one or more of </w:t>
      </w:r>
      <w:r w:rsidR="0072795D" w:rsidRPr="006C6ADD">
        <w:t xml:space="preserve">CCQ’s </w:t>
      </w:r>
      <w:r w:rsidR="0072795D">
        <w:t>D</w:t>
      </w:r>
      <w:r w:rsidR="0072795D" w:rsidRPr="006C6ADD">
        <w:t xml:space="preserve">irectors, General </w:t>
      </w:r>
      <w:proofErr w:type="gramStart"/>
      <w:r w:rsidR="0072795D" w:rsidRPr="006C6ADD">
        <w:t>Managers</w:t>
      </w:r>
      <w:proofErr w:type="gramEnd"/>
      <w:r w:rsidR="0072795D">
        <w:t xml:space="preserve"> or</w:t>
      </w:r>
      <w:r w:rsidR="0072795D" w:rsidRPr="006C6ADD">
        <w:t xml:space="preserve"> </w:t>
      </w:r>
      <w:r w:rsidR="0072795D">
        <w:t xml:space="preserve">the </w:t>
      </w:r>
      <w:r w:rsidR="0072795D" w:rsidRPr="006C6ADD">
        <w:t>CEO</w:t>
      </w:r>
      <w:r w:rsidR="0072795D">
        <w:t>,</w:t>
      </w:r>
      <w:r w:rsidR="0072795D" w:rsidRPr="006C6ADD">
        <w:t xml:space="preserve"> </w:t>
      </w:r>
      <w:r w:rsidR="0072795D">
        <w:t>who is not the subject of the Misconduct Disclosure</w:t>
      </w:r>
      <w:r w:rsidR="00553128">
        <w:t xml:space="preserve"> (and the initial disclosure by the Internal Eligible Recipient may be to one of those individuals)</w:t>
      </w:r>
      <w:r w:rsidR="0072795D">
        <w:t>.  The PDC will consist of a minimum of two members.</w:t>
      </w:r>
      <w:r w:rsidR="00B018D8">
        <w:t xml:space="preserve">  </w:t>
      </w:r>
      <w:r w:rsidR="008E24B1">
        <w:t>If the Whistleblower Officer is a member of the PDC then the Whistleblower Officer will act as the Chair of the PDC.  Failing that, t</w:t>
      </w:r>
      <w:r w:rsidR="00B018D8">
        <w:t>he PDC will choose one of their members to be the Chair of the PDC.</w:t>
      </w:r>
    </w:p>
    <w:p w14:paraId="5AD03AB2" w14:textId="0168A1A6" w:rsidR="006471D2" w:rsidRDefault="006471D2" w:rsidP="00757BF2">
      <w:pPr>
        <w:pStyle w:val="NoSpacing"/>
      </w:pPr>
    </w:p>
    <w:p w14:paraId="260E0EC2" w14:textId="4C1A689C" w:rsidR="006471D2" w:rsidRPr="00757BF2" w:rsidRDefault="006471D2" w:rsidP="00EE733C">
      <w:pPr>
        <w:pStyle w:val="NoSpacing"/>
        <w:keepNext/>
        <w:spacing w:after="240"/>
        <w:rPr>
          <w:b/>
          <w:bCs/>
          <w:sz w:val="24"/>
          <w:szCs w:val="24"/>
        </w:rPr>
      </w:pPr>
      <w:r w:rsidRPr="00757BF2">
        <w:rPr>
          <w:b/>
          <w:bCs/>
          <w:sz w:val="24"/>
          <w:szCs w:val="24"/>
        </w:rPr>
        <w:t>NOTIFICATION AND REPORTS</w:t>
      </w:r>
    </w:p>
    <w:p w14:paraId="33616001" w14:textId="64454647" w:rsidR="00F00FC8" w:rsidRDefault="0072795D" w:rsidP="00EE733C">
      <w:pPr>
        <w:pStyle w:val="NoSpacing"/>
        <w:keepNext/>
        <w:spacing w:after="240"/>
        <w:jc w:val="both"/>
      </w:pPr>
      <w:r w:rsidRPr="000C6B79">
        <w:t xml:space="preserve">On receiving a </w:t>
      </w:r>
      <w:r>
        <w:t xml:space="preserve">Misconduct </w:t>
      </w:r>
      <w:r w:rsidR="00B766AB">
        <w:t>Disclosure,</w:t>
      </w:r>
      <w:r w:rsidRPr="000C6B79">
        <w:t xml:space="preserve"> the </w:t>
      </w:r>
      <w:r>
        <w:t xml:space="preserve">PDC </w:t>
      </w:r>
      <w:r w:rsidRPr="000C6B79">
        <w:t xml:space="preserve">shall notify the </w:t>
      </w:r>
      <w:r w:rsidRPr="005A4221">
        <w:t>Chief Executive Officer</w:t>
      </w:r>
      <w:r w:rsidR="00976EC1">
        <w:t xml:space="preserve"> (CEO) in writing.  The CEO </w:t>
      </w:r>
      <w:r w:rsidRPr="000C6B79">
        <w:t xml:space="preserve">shall be responsible for ensuring that </w:t>
      </w:r>
      <w:r w:rsidR="00BB7A94">
        <w:t>the</w:t>
      </w:r>
      <w:r w:rsidRPr="000C6B79">
        <w:t xml:space="preserve"> investigation</w:t>
      </w:r>
      <w:r w:rsidR="00976EC1">
        <w:t xml:space="preserve"> by the PDC</w:t>
      </w:r>
      <w:r w:rsidRPr="000C6B79">
        <w:t xml:space="preserve"> is </w:t>
      </w:r>
      <w:r w:rsidR="00BB7A94">
        <w:t>commenced</w:t>
      </w:r>
      <w:r>
        <w:t>,</w:t>
      </w:r>
      <w:r w:rsidRPr="000C6B79">
        <w:t xml:space="preserve"> adequately </w:t>
      </w:r>
      <w:proofErr w:type="gramStart"/>
      <w:r w:rsidRPr="000C6B79">
        <w:t>resourced</w:t>
      </w:r>
      <w:proofErr w:type="gramEnd"/>
      <w:r>
        <w:t xml:space="preserve"> and appropriately carried out</w:t>
      </w:r>
      <w:r w:rsidRPr="000C6B79">
        <w:t>.</w:t>
      </w:r>
      <w:r w:rsidR="00AC7F3A">
        <w:t xml:space="preserve">  </w:t>
      </w:r>
      <w:r w:rsidR="000C18CD">
        <w:t xml:space="preserve">If the Misconduct Disclosure relates to the Chief Executive Officer the PDC shall instead </w:t>
      </w:r>
      <w:r w:rsidR="00976EC1">
        <w:t xml:space="preserve">provide written notice to </w:t>
      </w:r>
      <w:r w:rsidR="000C18CD">
        <w:t>the Chair of the Board or, failing that, any Director who is not the subject of the complaint</w:t>
      </w:r>
      <w:r w:rsidR="00ED2B33">
        <w:t xml:space="preserve"> and that person will take on those responsibilities</w:t>
      </w:r>
      <w:r w:rsidR="000C18CD">
        <w:t>.</w:t>
      </w:r>
    </w:p>
    <w:p w14:paraId="797CFCCD" w14:textId="06A7876F" w:rsidR="0072795D" w:rsidRPr="000C6B79" w:rsidRDefault="009E104D" w:rsidP="00757BF2">
      <w:pPr>
        <w:pStyle w:val="NoSpacing"/>
        <w:jc w:val="both"/>
      </w:pPr>
      <w:r>
        <w:t>T</w:t>
      </w:r>
      <w:r w:rsidR="00BF56FC">
        <w:t xml:space="preserve">he </w:t>
      </w:r>
      <w:r>
        <w:t xml:space="preserve">seriousness of the </w:t>
      </w:r>
      <w:r w:rsidR="00BF56FC">
        <w:t>Misconduct Disclosure</w:t>
      </w:r>
      <w:r>
        <w:t xml:space="preserve"> will be assessed by the PDC using the Risk Matrix (annexed to the </w:t>
      </w:r>
      <w:r w:rsidR="00F00FC8">
        <w:t xml:space="preserve">CCQ </w:t>
      </w:r>
      <w:r>
        <w:t>Risk Management Framework)</w:t>
      </w:r>
      <w:r w:rsidR="00F00FC8">
        <w:t xml:space="preserve">.  All Misconduct Disclosures that are assessed as being Moderate, </w:t>
      </w:r>
      <w:proofErr w:type="gramStart"/>
      <w:r w:rsidR="00F00FC8">
        <w:t>High</w:t>
      </w:r>
      <w:proofErr w:type="gramEnd"/>
      <w:r w:rsidR="00F00FC8">
        <w:t xml:space="preserve"> or Very High </w:t>
      </w:r>
      <w:r w:rsidR="006471D2">
        <w:t>r</w:t>
      </w:r>
      <w:r w:rsidR="00F00FC8">
        <w:t xml:space="preserve">isk </w:t>
      </w:r>
      <w:r w:rsidR="006471D2">
        <w:t xml:space="preserve">(or which exceed CCQ’s Risk Tolerance for that type of risk) </w:t>
      </w:r>
      <w:r w:rsidR="00F00FC8">
        <w:t xml:space="preserve">will be reported by </w:t>
      </w:r>
      <w:r w:rsidR="00BF56FC">
        <w:t>t</w:t>
      </w:r>
      <w:r w:rsidR="00AC7F3A">
        <w:t xml:space="preserve">he PDC </w:t>
      </w:r>
      <w:r w:rsidR="00F00FC8">
        <w:t>to</w:t>
      </w:r>
      <w:r w:rsidR="00DF543A">
        <w:t xml:space="preserve"> CCQ’s Company Secretary,</w:t>
      </w:r>
      <w:r w:rsidR="00F00FC8">
        <w:t xml:space="preserve"> </w:t>
      </w:r>
      <w:r w:rsidR="00AC7F3A">
        <w:t xml:space="preserve">the Finance, Audit and Risk </w:t>
      </w:r>
      <w:r w:rsidR="00F00FC8">
        <w:t xml:space="preserve">Management (FARM) </w:t>
      </w:r>
      <w:r w:rsidR="00AC7F3A">
        <w:t>Committee</w:t>
      </w:r>
      <w:r w:rsidR="00F00FC8">
        <w:t xml:space="preserve"> </w:t>
      </w:r>
      <w:r w:rsidR="00AC7F3A">
        <w:t>and the Board</w:t>
      </w:r>
      <w:r w:rsidR="006471D2">
        <w:t xml:space="preserve">. </w:t>
      </w:r>
      <w:r w:rsidR="00BF56FC">
        <w:t xml:space="preserve"> </w:t>
      </w:r>
      <w:r w:rsidR="00F00FC8">
        <w:t xml:space="preserve">In addition, in accordance with the CCQ Delegation of Authority Policy, all Misconduct Disclosures involving fraud </w:t>
      </w:r>
      <w:r w:rsidR="000C18CD">
        <w:t xml:space="preserve">(regardless of their risk assessment) </w:t>
      </w:r>
      <w:r w:rsidR="00F00FC8">
        <w:t>will be reported to the FARM Committee and the Board</w:t>
      </w:r>
      <w:r w:rsidR="006471D2">
        <w:t>.</w:t>
      </w:r>
      <w:r w:rsidR="0072795D" w:rsidRPr="000C6B79">
        <w:t xml:space="preserve">  </w:t>
      </w:r>
      <w:r w:rsidR="006471D2">
        <w:t xml:space="preserve">Reports to the </w:t>
      </w:r>
      <w:r w:rsidR="00DF543A">
        <w:t xml:space="preserve">Company Secretary, </w:t>
      </w:r>
      <w:r w:rsidR="006471D2">
        <w:t xml:space="preserve">FARM Committee and the Board must not contain information that </w:t>
      </w:r>
      <w:r w:rsidR="006471D2" w:rsidRPr="006471D2">
        <w:t>disclose</w:t>
      </w:r>
      <w:r w:rsidR="00BF460E">
        <w:t>s</w:t>
      </w:r>
      <w:r w:rsidR="006471D2" w:rsidRPr="006471D2">
        <w:t xml:space="preserve"> the identity of </w:t>
      </w:r>
      <w:r w:rsidR="006471D2">
        <w:t xml:space="preserve">the Whistleblower </w:t>
      </w:r>
      <w:r w:rsidR="00DF543A">
        <w:t>n</w:t>
      </w:r>
      <w:r w:rsidR="006471D2" w:rsidRPr="006471D2">
        <w:t>or information that is</w:t>
      </w:r>
      <w:r w:rsidR="006471D2">
        <w:t xml:space="preserve"> </w:t>
      </w:r>
      <w:r w:rsidR="006471D2" w:rsidRPr="006471D2">
        <w:t xml:space="preserve">likely to lead to the identification of the </w:t>
      </w:r>
      <w:r w:rsidR="00BB7A94">
        <w:t>Whistleblower</w:t>
      </w:r>
      <w:r w:rsidR="006471D2">
        <w:t>, unless consent has been obtained from the Whistleblower</w:t>
      </w:r>
      <w:r w:rsidR="000C18CD">
        <w:t>;</w:t>
      </w:r>
      <w:r w:rsidR="00BF460E">
        <w:t xml:space="preserve"> or </w:t>
      </w:r>
      <w:r w:rsidR="007D5077">
        <w:t xml:space="preserve">if </w:t>
      </w:r>
      <w:r w:rsidR="00BB7A94">
        <w:t xml:space="preserve">the </w:t>
      </w:r>
      <w:r w:rsidR="00DF543A">
        <w:t xml:space="preserve">Company Secretary, </w:t>
      </w:r>
      <w:r w:rsidR="00BF460E">
        <w:t xml:space="preserve">the FARM </w:t>
      </w:r>
      <w:proofErr w:type="gramStart"/>
      <w:r w:rsidR="00BF460E">
        <w:t>Committee</w:t>
      </w:r>
      <w:proofErr w:type="gramEnd"/>
      <w:r w:rsidR="00BF460E">
        <w:t xml:space="preserve"> or the Board</w:t>
      </w:r>
      <w:r w:rsidR="00976EC1">
        <w:t>, as applicable,</w:t>
      </w:r>
      <w:r w:rsidR="00BF460E">
        <w:t xml:space="preserve"> will be directly involved in handling and investigating the Misconduct Disclosure</w:t>
      </w:r>
      <w:r w:rsidR="006471D2">
        <w:t>.</w:t>
      </w:r>
      <w:r w:rsidR="00750472" w:rsidRPr="00750472">
        <w:t xml:space="preserve"> </w:t>
      </w:r>
      <w:r w:rsidR="009653BF">
        <w:t xml:space="preserve">All reports referred to above will not be </w:t>
      </w:r>
      <w:r w:rsidR="00750472">
        <w:t xml:space="preserve">provided </w:t>
      </w:r>
      <w:r w:rsidR="009653BF">
        <w:t xml:space="preserve">to </w:t>
      </w:r>
      <w:r w:rsidR="00750472">
        <w:t>any individuals that are the subject of the complaint</w:t>
      </w:r>
      <w:r w:rsidR="009653BF">
        <w:t>.</w:t>
      </w:r>
    </w:p>
    <w:p w14:paraId="03473570" w14:textId="2BDBC8A4" w:rsidR="00AF345D" w:rsidRDefault="00AF345D" w:rsidP="00757BF2">
      <w:pPr>
        <w:pStyle w:val="NoSpacing"/>
      </w:pPr>
    </w:p>
    <w:p w14:paraId="01B37365" w14:textId="10BB67AA" w:rsidR="00B27CED" w:rsidRPr="00757BF2" w:rsidRDefault="00757BF2" w:rsidP="00757BF2">
      <w:pPr>
        <w:pStyle w:val="NoSpacing"/>
        <w:rPr>
          <w:b/>
          <w:bCs/>
          <w:sz w:val="24"/>
          <w:szCs w:val="24"/>
        </w:rPr>
      </w:pPr>
      <w:r w:rsidRPr="00757BF2">
        <w:rPr>
          <w:b/>
          <w:bCs/>
          <w:sz w:val="24"/>
          <w:szCs w:val="24"/>
        </w:rPr>
        <w:t>INVESTIGATION</w:t>
      </w:r>
    </w:p>
    <w:p w14:paraId="5C5EA40F" w14:textId="77777777" w:rsidR="00B27CED" w:rsidRDefault="00B27CED" w:rsidP="00757BF2">
      <w:pPr>
        <w:pStyle w:val="NoSpacing"/>
      </w:pPr>
    </w:p>
    <w:p w14:paraId="35C8C066" w14:textId="06080FE5" w:rsidR="00B27CED" w:rsidRPr="005A4221" w:rsidRDefault="00B27CED" w:rsidP="00757BF2">
      <w:pPr>
        <w:pStyle w:val="NoSpacing"/>
      </w:pPr>
      <w:r w:rsidRPr="005A4221">
        <w:t xml:space="preserve">The </w:t>
      </w:r>
      <w:r w:rsidR="008936C8">
        <w:t>PDC</w:t>
      </w:r>
      <w:r>
        <w:t xml:space="preserve"> </w:t>
      </w:r>
      <w:r w:rsidRPr="005A4221">
        <w:t>shall:</w:t>
      </w:r>
    </w:p>
    <w:p w14:paraId="25C26717" w14:textId="77777777" w:rsidR="00757BF2" w:rsidRDefault="00757BF2" w:rsidP="00757BF2">
      <w:pPr>
        <w:pStyle w:val="NoSpacing"/>
      </w:pPr>
    </w:p>
    <w:p w14:paraId="6A8A2A61" w14:textId="048CB9D9" w:rsidR="00CE6BAC" w:rsidRDefault="00CE6BAC" w:rsidP="00757BF2">
      <w:pPr>
        <w:pStyle w:val="NoSpacing"/>
        <w:numPr>
          <w:ilvl w:val="0"/>
          <w:numId w:val="18"/>
        </w:numPr>
        <w:jc w:val="both"/>
      </w:pPr>
      <w:r w:rsidRPr="00AD40DF">
        <w:t xml:space="preserve">assess the risk of </w:t>
      </w:r>
      <w:r w:rsidR="002D7D6A">
        <w:t>D</w:t>
      </w:r>
      <w:r w:rsidRPr="00AD40DF">
        <w:t xml:space="preserve">etriment to the </w:t>
      </w:r>
      <w:r>
        <w:t>Whistleblower</w:t>
      </w:r>
      <w:r w:rsidRPr="00AD40DF">
        <w:t xml:space="preserve"> or </w:t>
      </w:r>
      <w:r w:rsidR="000C18CD">
        <w:t>any other</w:t>
      </w:r>
      <w:r w:rsidRPr="00AD40DF">
        <w:t xml:space="preserve"> person as soon as it receives a </w:t>
      </w:r>
      <w:r>
        <w:t xml:space="preserve">Misconduct </w:t>
      </w:r>
      <w:proofErr w:type="gramStart"/>
      <w:r>
        <w:t>D</w:t>
      </w:r>
      <w:r w:rsidRPr="00AD40DF">
        <w:t>isclosure</w:t>
      </w:r>
      <w:r>
        <w:t>;</w:t>
      </w:r>
      <w:proofErr w:type="gramEnd"/>
    </w:p>
    <w:p w14:paraId="178BF0AE" w14:textId="5F27EC75" w:rsidR="00050D54" w:rsidRDefault="00050D54" w:rsidP="00757BF2">
      <w:pPr>
        <w:pStyle w:val="NoSpacing"/>
        <w:numPr>
          <w:ilvl w:val="0"/>
          <w:numId w:val="18"/>
        </w:numPr>
        <w:jc w:val="both"/>
      </w:pPr>
      <w:r>
        <w:t xml:space="preserve">ensure that </w:t>
      </w:r>
      <w:r w:rsidRPr="000C6B79">
        <w:t xml:space="preserve">disclosures may be made </w:t>
      </w:r>
      <w:r w:rsidR="00B766AB">
        <w:t>anonymously,</w:t>
      </w:r>
      <w:r w:rsidRPr="000C6B79">
        <w:t xml:space="preserve"> and th</w:t>
      </w:r>
      <w:r w:rsidR="002B1025">
        <w:t>at</w:t>
      </w:r>
      <w:r w:rsidRPr="000C6B79">
        <w:t xml:space="preserve"> </w:t>
      </w:r>
      <w:r>
        <w:t xml:space="preserve">anonymity </w:t>
      </w:r>
      <w:r w:rsidRPr="000C6B79">
        <w:t>shall</w:t>
      </w:r>
      <w:r w:rsidR="002B1025">
        <w:t xml:space="preserve"> </w:t>
      </w:r>
      <w:r w:rsidRPr="000C6B79">
        <w:t xml:space="preserve">be preserved by </w:t>
      </w:r>
      <w:proofErr w:type="gramStart"/>
      <w:r>
        <w:t>CCQ;</w:t>
      </w:r>
      <w:proofErr w:type="gramEnd"/>
    </w:p>
    <w:p w14:paraId="4D8DA6DF" w14:textId="2E6713D1" w:rsidR="002B1025" w:rsidRPr="008953EA" w:rsidRDefault="002B1025" w:rsidP="00757BF2">
      <w:pPr>
        <w:pStyle w:val="NoSpacing"/>
        <w:numPr>
          <w:ilvl w:val="0"/>
          <w:numId w:val="18"/>
        </w:numPr>
        <w:jc w:val="both"/>
      </w:pPr>
      <w:r>
        <w:t xml:space="preserve">ensure that the confidentiality of </w:t>
      </w:r>
      <w:r w:rsidRPr="000C6B79">
        <w:t xml:space="preserve">disclosures </w:t>
      </w:r>
      <w:r>
        <w:t>is,</w:t>
      </w:r>
      <w:r w:rsidRPr="000C6B79">
        <w:t xml:space="preserve"> as far as </w:t>
      </w:r>
      <w:r>
        <w:t>practicable and reasonable,</w:t>
      </w:r>
      <w:r w:rsidRPr="000C6B79">
        <w:t xml:space="preserve"> preserved by </w:t>
      </w:r>
      <w:proofErr w:type="gramStart"/>
      <w:r>
        <w:t>CCQ;</w:t>
      </w:r>
      <w:proofErr w:type="gramEnd"/>
    </w:p>
    <w:p w14:paraId="454C8051" w14:textId="1185A689" w:rsidR="003A3E8A" w:rsidRDefault="00743D98" w:rsidP="00757BF2">
      <w:pPr>
        <w:pStyle w:val="NoSpacing"/>
        <w:numPr>
          <w:ilvl w:val="0"/>
          <w:numId w:val="18"/>
        </w:numPr>
        <w:jc w:val="both"/>
      </w:pPr>
      <w:r>
        <w:t xml:space="preserve">assess whether the disclosure </w:t>
      </w:r>
      <w:r w:rsidR="003A3E8A">
        <w:t>is:</w:t>
      </w:r>
    </w:p>
    <w:p w14:paraId="40411ED9" w14:textId="77777777" w:rsidR="003A3E8A" w:rsidRDefault="003A3E8A" w:rsidP="00757BF2">
      <w:pPr>
        <w:pStyle w:val="NoSpacing"/>
        <w:numPr>
          <w:ilvl w:val="0"/>
          <w:numId w:val="19"/>
        </w:numPr>
        <w:jc w:val="both"/>
      </w:pPr>
      <w:r>
        <w:t>a Protected Disclosure (</w:t>
      </w:r>
      <w:proofErr w:type="gramStart"/>
      <w:r>
        <w:t>i.e.</w:t>
      </w:r>
      <w:proofErr w:type="gramEnd"/>
      <w:r>
        <w:t xml:space="preserve"> within the scope of the Corporations Act);</w:t>
      </w:r>
    </w:p>
    <w:p w14:paraId="60CF7C93" w14:textId="1747AC8C" w:rsidR="003A3E8A" w:rsidRDefault="003A3E8A" w:rsidP="00757BF2">
      <w:pPr>
        <w:pStyle w:val="NoSpacing"/>
        <w:numPr>
          <w:ilvl w:val="0"/>
          <w:numId w:val="19"/>
        </w:numPr>
        <w:jc w:val="both"/>
      </w:pPr>
      <w:r>
        <w:t xml:space="preserve">in relation to a </w:t>
      </w:r>
      <w:r w:rsidR="00953683">
        <w:t>S</w:t>
      </w:r>
      <w:r>
        <w:t xml:space="preserve">erious </w:t>
      </w:r>
      <w:r w:rsidR="00953683">
        <w:t>B</w:t>
      </w:r>
      <w:r w:rsidRPr="006F0C4F">
        <w:t>reach</w:t>
      </w:r>
      <w:r>
        <w:t xml:space="preserve">; or </w:t>
      </w:r>
    </w:p>
    <w:p w14:paraId="2A1F14F8" w14:textId="59F8310E" w:rsidR="00743D98" w:rsidRDefault="003A3E8A" w:rsidP="00757BF2">
      <w:pPr>
        <w:pStyle w:val="NoSpacing"/>
        <w:numPr>
          <w:ilvl w:val="0"/>
          <w:numId w:val="19"/>
        </w:numPr>
        <w:jc w:val="both"/>
      </w:pPr>
      <w:r>
        <w:t>falls outside the scope of the Guideline (</w:t>
      </w:r>
      <w:proofErr w:type="gramStart"/>
      <w:r>
        <w:t>e.g.</w:t>
      </w:r>
      <w:proofErr w:type="gramEnd"/>
      <w:r>
        <w:t xml:space="preserve"> the disclosure relates to </w:t>
      </w:r>
      <w:r w:rsidR="00743D98">
        <w:t>a work-related grievance);</w:t>
      </w:r>
    </w:p>
    <w:p w14:paraId="51884B83" w14:textId="05BF839A" w:rsidR="00023C6C" w:rsidRDefault="00023C6C" w:rsidP="00757BF2">
      <w:pPr>
        <w:pStyle w:val="NoSpacing"/>
        <w:numPr>
          <w:ilvl w:val="0"/>
          <w:numId w:val="18"/>
        </w:numPr>
        <w:jc w:val="both"/>
      </w:pPr>
      <w:r>
        <w:lastRenderedPageBreak/>
        <w:t xml:space="preserve">if a Misconduct Disclosure is made anonymously, still assess the material that is provided and investigate to the extent </w:t>
      </w:r>
      <w:proofErr w:type="gramStart"/>
      <w:r>
        <w:t>possible;</w:t>
      </w:r>
      <w:proofErr w:type="gramEnd"/>
    </w:p>
    <w:p w14:paraId="5D560AB3" w14:textId="77777777" w:rsidR="00523AD8" w:rsidRDefault="00523AD8" w:rsidP="00757BF2">
      <w:pPr>
        <w:pStyle w:val="NoSpacing"/>
        <w:numPr>
          <w:ilvl w:val="0"/>
          <w:numId w:val="18"/>
        </w:numPr>
        <w:jc w:val="both"/>
      </w:pPr>
      <w:r w:rsidRPr="000C6B79">
        <w:t>ensure that</w:t>
      </w:r>
      <w:r>
        <w:t xml:space="preserve"> </w:t>
      </w:r>
      <w:r w:rsidRPr="000C6B79">
        <w:t>the</w:t>
      </w:r>
      <w:r>
        <w:t xml:space="preserve">re is enough information to form a reasonable basis for investigation and gather evidence and request further information from the Whistleblower where required and it is possible to do </w:t>
      </w:r>
      <w:proofErr w:type="gramStart"/>
      <w:r>
        <w:t>so;</w:t>
      </w:r>
      <w:proofErr w:type="gramEnd"/>
    </w:p>
    <w:p w14:paraId="7E5DC8BE" w14:textId="77777777" w:rsidR="00523AD8" w:rsidRDefault="00523AD8" w:rsidP="00757BF2">
      <w:pPr>
        <w:pStyle w:val="NoSpacing"/>
        <w:numPr>
          <w:ilvl w:val="0"/>
          <w:numId w:val="18"/>
        </w:numPr>
        <w:jc w:val="both"/>
      </w:pPr>
      <w:r>
        <w:t xml:space="preserve">ensure that the </w:t>
      </w:r>
      <w:r w:rsidRPr="000C6B79">
        <w:t>allegation is investigated</w:t>
      </w:r>
      <w:r>
        <w:t xml:space="preserve"> </w:t>
      </w:r>
      <w:r w:rsidRPr="000C6B79">
        <w:t xml:space="preserve">as soon as </w:t>
      </w:r>
      <w:r>
        <w:t>practicable</w:t>
      </w:r>
      <w:r w:rsidRPr="000C6B79">
        <w:t xml:space="preserve"> after the matter has been reported</w:t>
      </w:r>
      <w:r>
        <w:t xml:space="preserve"> and</w:t>
      </w:r>
      <w:r w:rsidRPr="000C6B79">
        <w:t xml:space="preserve"> a finding is </w:t>
      </w:r>
      <w:proofErr w:type="gramStart"/>
      <w:r w:rsidRPr="000C6B79">
        <w:t>made</w:t>
      </w:r>
      <w:r>
        <w:t>;</w:t>
      </w:r>
      <w:proofErr w:type="gramEnd"/>
      <w:r>
        <w:t xml:space="preserve"> </w:t>
      </w:r>
    </w:p>
    <w:p w14:paraId="4A63D13B" w14:textId="519EBB67" w:rsidR="00050D54" w:rsidRDefault="00050D54" w:rsidP="00757BF2">
      <w:pPr>
        <w:pStyle w:val="NoSpacing"/>
        <w:numPr>
          <w:ilvl w:val="0"/>
          <w:numId w:val="18"/>
        </w:numPr>
        <w:jc w:val="both"/>
      </w:pPr>
      <w:r w:rsidRPr="000C6B79">
        <w:t xml:space="preserve">conduct </w:t>
      </w:r>
      <w:r w:rsidR="00A80BE5">
        <w:t>an</w:t>
      </w:r>
      <w:r w:rsidRPr="000C6B79">
        <w:t xml:space="preserve"> investigation </w:t>
      </w:r>
      <w:r w:rsidR="00A80BE5">
        <w:t xml:space="preserve">of a Misconduct Disclosure </w:t>
      </w:r>
      <w:r w:rsidRPr="000C6B79">
        <w:t>in a</w:t>
      </w:r>
      <w:r>
        <w:t xml:space="preserve"> thorough, </w:t>
      </w:r>
      <w:r w:rsidRPr="000C6B79">
        <w:t>objective</w:t>
      </w:r>
      <w:r>
        <w:t>, independent</w:t>
      </w:r>
      <w:r w:rsidRPr="000C6B79">
        <w:t xml:space="preserve"> and fair manner, and otherwise as is reasonable and appropriate having regard to the nature of the </w:t>
      </w:r>
      <w:r>
        <w:t>Misconduct Disclosure</w:t>
      </w:r>
      <w:r w:rsidRPr="000C6B79">
        <w:t xml:space="preserve"> and the </w:t>
      </w:r>
      <w:proofErr w:type="gramStart"/>
      <w:r w:rsidRPr="000C6B79">
        <w:t>circumstances</w:t>
      </w:r>
      <w:r>
        <w:t>;</w:t>
      </w:r>
      <w:proofErr w:type="gramEnd"/>
    </w:p>
    <w:p w14:paraId="11BC288C" w14:textId="707D4937" w:rsidR="00050D54" w:rsidRDefault="00050D54" w:rsidP="00757BF2">
      <w:pPr>
        <w:pStyle w:val="NoSpacing"/>
        <w:numPr>
          <w:ilvl w:val="0"/>
          <w:numId w:val="18"/>
        </w:numPr>
        <w:jc w:val="both"/>
      </w:pPr>
      <w:r w:rsidRPr="00E30DE7">
        <w:t xml:space="preserve">ensure that the investigation observes the </w:t>
      </w:r>
      <w:r w:rsidR="00523AD8">
        <w:t>principles</w:t>
      </w:r>
      <w:r w:rsidRPr="00E30DE7">
        <w:t xml:space="preserve"> of natural justice and procedural fairness</w:t>
      </w:r>
      <w:r w:rsidR="00AC66E2">
        <w:t xml:space="preserve"> (</w:t>
      </w:r>
      <w:proofErr w:type="gramStart"/>
      <w:r w:rsidR="00AC66E2">
        <w:t>i.e.</w:t>
      </w:r>
      <w:proofErr w:type="gramEnd"/>
      <w:r w:rsidR="00AC66E2">
        <w:t xml:space="preserve"> the investigation will be without bias, based on logical evidence and affected individuals will be given an opportunity to be heard</w:t>
      </w:r>
      <w:r w:rsidR="000B73D0">
        <w:t>)</w:t>
      </w:r>
      <w:r>
        <w:t>;</w:t>
      </w:r>
    </w:p>
    <w:p w14:paraId="50203064" w14:textId="13941FEB" w:rsidR="00B27CED" w:rsidRDefault="00534A29" w:rsidP="00757BF2">
      <w:pPr>
        <w:pStyle w:val="NoSpacing"/>
        <w:numPr>
          <w:ilvl w:val="0"/>
          <w:numId w:val="18"/>
        </w:numPr>
        <w:jc w:val="both"/>
      </w:pPr>
      <w:r>
        <w:t xml:space="preserve">ensure that secure written records are kept in relation to the disclosure, </w:t>
      </w:r>
      <w:r w:rsidR="00976EC1">
        <w:t xml:space="preserve">notification, assessment, </w:t>
      </w:r>
      <w:r>
        <w:t>investigation and outcomes of the investigation (see also the “Security” and “Findings” sections below</w:t>
      </w:r>
      <w:proofErr w:type="gramStart"/>
      <w:r>
        <w:t>);</w:t>
      </w:r>
      <w:proofErr w:type="gramEnd"/>
      <w:r>
        <w:t xml:space="preserve"> </w:t>
      </w:r>
    </w:p>
    <w:p w14:paraId="6355598E" w14:textId="77777777" w:rsidR="00166648" w:rsidRDefault="00FF4CB2" w:rsidP="00757BF2">
      <w:pPr>
        <w:pStyle w:val="NoSpacing"/>
        <w:numPr>
          <w:ilvl w:val="0"/>
          <w:numId w:val="18"/>
        </w:numPr>
        <w:jc w:val="both"/>
      </w:pPr>
      <w:r>
        <w:t>provide periodic updates to the Whistleblower as to the status of the investigation (where appropriate) and the outcome of the investigation</w:t>
      </w:r>
      <w:r w:rsidR="00023C6C">
        <w:t xml:space="preserve"> (see the “Findings” section below)</w:t>
      </w:r>
      <w:r w:rsidR="00050D54" w:rsidRPr="00050D54">
        <w:t>.</w:t>
      </w:r>
      <w:r w:rsidR="00DC036A">
        <w:t xml:space="preserve">  </w:t>
      </w:r>
      <w:r w:rsidR="00F56972">
        <w:t>If t</w:t>
      </w:r>
      <w:r w:rsidR="00DC036A">
        <w:t xml:space="preserve">he </w:t>
      </w:r>
      <w:r w:rsidR="00FB2BAB" w:rsidRPr="00FB2BAB">
        <w:t xml:space="preserve">Misconduct Disclosure has been made anonymously via an Internal Eligible </w:t>
      </w:r>
      <w:proofErr w:type="gramStart"/>
      <w:r w:rsidR="00FB2BAB" w:rsidRPr="00FB2BAB">
        <w:t>Recipient</w:t>
      </w:r>
      <w:proofErr w:type="gramEnd"/>
      <w:r w:rsidR="00FB2BAB" w:rsidRPr="00FB2BAB">
        <w:t xml:space="preserve"> the PDC will provide the </w:t>
      </w:r>
      <w:r w:rsidR="00FB2BAB">
        <w:t>updates and outcome</w:t>
      </w:r>
      <w:r w:rsidR="00FB2BAB" w:rsidRPr="00FB2BAB">
        <w:t xml:space="preserve"> to the Internal Eligible Recipient for them to pass on to the Whistleblower</w:t>
      </w:r>
      <w:r w:rsidR="00166648">
        <w:t>;</w:t>
      </w:r>
    </w:p>
    <w:p w14:paraId="0CF4B549" w14:textId="34992EF9" w:rsidR="00924C2C" w:rsidRDefault="00CD1F43" w:rsidP="00EE3525">
      <w:pPr>
        <w:pStyle w:val="NoSpacing"/>
        <w:numPr>
          <w:ilvl w:val="0"/>
          <w:numId w:val="18"/>
        </w:numPr>
        <w:jc w:val="both"/>
      </w:pPr>
      <w:r>
        <w:t>where the</w:t>
      </w:r>
      <w:r w:rsidR="009768D7">
        <w:t xml:space="preserve"> Misconduct Disclosure relates to </w:t>
      </w:r>
      <w:r w:rsidR="006602F4">
        <w:t xml:space="preserve">a service that </w:t>
      </w:r>
      <w:r w:rsidR="009768D7">
        <w:t xml:space="preserve">CCQ </w:t>
      </w:r>
      <w:r w:rsidR="006602F4">
        <w:t xml:space="preserve">provides pursuant to </w:t>
      </w:r>
      <w:r w:rsidR="00E424B4">
        <w:t xml:space="preserve">a contract with the Queensland government the PDC will consider whether the Human Rights Act </w:t>
      </w:r>
      <w:r w:rsidR="00EE3525">
        <w:t xml:space="preserve">would apply to that service and if so, </w:t>
      </w:r>
      <w:r w:rsidR="003B7B30">
        <w:t>the PDC must consider and act compatibly with human rights</w:t>
      </w:r>
      <w:r w:rsidR="008F722F">
        <w:t>;</w:t>
      </w:r>
      <w:r>
        <w:t xml:space="preserve"> </w:t>
      </w:r>
      <w:r w:rsidR="008F722F">
        <w:t>and</w:t>
      </w:r>
      <w:r w:rsidR="002512A6">
        <w:t xml:space="preserve">  </w:t>
      </w:r>
    </w:p>
    <w:p w14:paraId="13E02354" w14:textId="5DB57FD6" w:rsidR="00B27CED" w:rsidRPr="008953EA" w:rsidRDefault="00596086" w:rsidP="00757BF2">
      <w:pPr>
        <w:pStyle w:val="NoSpacing"/>
        <w:numPr>
          <w:ilvl w:val="0"/>
          <w:numId w:val="18"/>
        </w:numPr>
        <w:jc w:val="both"/>
      </w:pPr>
      <w:r>
        <w:t>w</w:t>
      </w:r>
      <w:r w:rsidR="00CA6F2D">
        <w:t>here the Misconduct Disclosure relates to a Serious Breach of the</w:t>
      </w:r>
      <w:r w:rsidR="008F722F">
        <w:t xml:space="preserve"> Whistleblower’s human rights under the</w:t>
      </w:r>
      <w:r w:rsidR="00CA6F2D">
        <w:t xml:space="preserve"> </w:t>
      </w:r>
      <w:r w:rsidR="00CA6F2D" w:rsidRPr="00CF30F0">
        <w:t>Human Rights Act</w:t>
      </w:r>
      <w:r w:rsidR="00CF30F0">
        <w:rPr>
          <w:i/>
          <w:iCs/>
        </w:rPr>
        <w:t xml:space="preserve"> </w:t>
      </w:r>
      <w:r w:rsidR="00924C2C">
        <w:t xml:space="preserve">the PDC must respond to the Whistleblower within 45 </w:t>
      </w:r>
      <w:r w:rsidR="00ED3262">
        <w:t xml:space="preserve">business </w:t>
      </w:r>
      <w:r w:rsidR="00924C2C">
        <w:t>days</w:t>
      </w:r>
      <w:r w:rsidR="00ED3262">
        <w:t>.</w:t>
      </w:r>
    </w:p>
    <w:p w14:paraId="5E4C5DF9" w14:textId="77777777" w:rsidR="00757BF2" w:rsidRDefault="00757BF2" w:rsidP="00757BF2">
      <w:pPr>
        <w:pStyle w:val="NoSpacing"/>
        <w:jc w:val="both"/>
      </w:pPr>
    </w:p>
    <w:p w14:paraId="7A9B7C9A" w14:textId="2DF9AC1B" w:rsidR="00B27CED" w:rsidRPr="000C6B79" w:rsidRDefault="00B27CED" w:rsidP="00757BF2">
      <w:pPr>
        <w:pStyle w:val="NoSpacing"/>
        <w:jc w:val="both"/>
      </w:pPr>
      <w:r w:rsidRPr="000C6B79">
        <w:t xml:space="preserve">The </w:t>
      </w:r>
      <w:r>
        <w:t xml:space="preserve">PDC </w:t>
      </w:r>
      <w:r w:rsidRPr="000C6B79">
        <w:t>may</w:t>
      </w:r>
      <w:r w:rsidR="00023C6C">
        <w:t xml:space="preserve"> </w:t>
      </w:r>
      <w:r w:rsidRPr="000C6B79">
        <w:t xml:space="preserve">appoint a person </w:t>
      </w:r>
      <w:r w:rsidR="00023C6C">
        <w:t xml:space="preserve">or organisation </w:t>
      </w:r>
      <w:r w:rsidRPr="000C6B79">
        <w:t xml:space="preserve">to assist in the investigations of a matter raised in a </w:t>
      </w:r>
      <w:r>
        <w:t>Misconduct Disclosure</w:t>
      </w:r>
      <w:r w:rsidRPr="000C6B79">
        <w:t xml:space="preserve">. </w:t>
      </w:r>
      <w:r w:rsidR="00743D98">
        <w:t xml:space="preserve"> This may include a technical or professional adviser.</w:t>
      </w:r>
      <w:r w:rsidRPr="000C6B79">
        <w:t xml:space="preserve"> </w:t>
      </w:r>
    </w:p>
    <w:p w14:paraId="3A080F84" w14:textId="77777777" w:rsidR="00B27CED" w:rsidRPr="000C6B79" w:rsidRDefault="00B27CED" w:rsidP="00757BF2">
      <w:pPr>
        <w:pStyle w:val="NoSpacing"/>
      </w:pPr>
    </w:p>
    <w:p w14:paraId="4C475232" w14:textId="0D18B3D0" w:rsidR="00B27CED" w:rsidRPr="000C6B79" w:rsidRDefault="00B27CED" w:rsidP="00757BF2">
      <w:pPr>
        <w:pStyle w:val="NoSpacing"/>
        <w:jc w:val="both"/>
      </w:pPr>
      <w:r w:rsidRPr="000C6B79">
        <w:t>Terms of reference for the investigation will be drawn up</w:t>
      </w:r>
      <w:r>
        <w:t xml:space="preserve"> by the PDC </w:t>
      </w:r>
      <w:r w:rsidRPr="000C6B79">
        <w:t>to clarify the key issues to be investigated.</w:t>
      </w:r>
      <w:r>
        <w:t xml:space="preserve">  A</w:t>
      </w:r>
      <w:r w:rsidRPr="000C6B79">
        <w:t xml:space="preserve">n investigation plan will be developed </w:t>
      </w:r>
      <w:r>
        <w:t xml:space="preserve">by the PDC </w:t>
      </w:r>
      <w:r w:rsidRPr="000C6B79">
        <w:t>to ensure all relevant questions are addressed, the scale of the investigation is in proportion to the seriousness of the allegation(s)</w:t>
      </w:r>
      <w:r w:rsidR="00743D98">
        <w:t>,</w:t>
      </w:r>
      <w:r w:rsidRPr="000C6B79">
        <w:t xml:space="preserve"> sufficient resources are </w:t>
      </w:r>
      <w:r w:rsidR="00B766AB" w:rsidRPr="000C6B79">
        <w:t>allocated,</w:t>
      </w:r>
      <w:r w:rsidR="00743D98">
        <w:t xml:space="preserve"> and timelines are established for the conduct and conclusion of the investigation</w:t>
      </w:r>
      <w:r w:rsidRPr="000C6B79">
        <w:t>.</w:t>
      </w:r>
      <w:r>
        <w:t xml:space="preserve">  The </w:t>
      </w:r>
      <w:r w:rsidR="00733C72">
        <w:t xml:space="preserve">process for </w:t>
      </w:r>
      <w:proofErr w:type="gramStart"/>
      <w:r w:rsidR="00733C72">
        <w:t>conducting an investigation</w:t>
      </w:r>
      <w:proofErr w:type="gramEnd"/>
      <w:r w:rsidR="00733C72">
        <w:t xml:space="preserve"> may vary depending on the nature of the disclosure, however, the </w:t>
      </w:r>
      <w:r>
        <w:t>following principles will apply to all investigations</w:t>
      </w:r>
      <w:r w:rsidR="0095196B">
        <w:t xml:space="preserve"> where possible</w:t>
      </w:r>
      <w:r>
        <w:t>:</w:t>
      </w:r>
    </w:p>
    <w:p w14:paraId="1D1A754A" w14:textId="77777777" w:rsidR="00757BF2" w:rsidRDefault="00757BF2" w:rsidP="00757BF2">
      <w:pPr>
        <w:pStyle w:val="NoSpacing"/>
      </w:pPr>
    </w:p>
    <w:p w14:paraId="2E4FA5F4" w14:textId="3E7B5937" w:rsidR="00B27CED" w:rsidRPr="000C6B79" w:rsidRDefault="00733C72" w:rsidP="00757BF2">
      <w:pPr>
        <w:pStyle w:val="NoSpacing"/>
        <w:numPr>
          <w:ilvl w:val="0"/>
          <w:numId w:val="20"/>
        </w:numPr>
      </w:pPr>
      <w:r>
        <w:t>s</w:t>
      </w:r>
      <w:r w:rsidR="00B27CED" w:rsidRPr="000C6B79">
        <w:t>trict confidentiality will be maintained during the investigative process</w:t>
      </w:r>
      <w:r w:rsidR="00B27CED">
        <w:t xml:space="preserve">, except to the extent that disclosure is required by </w:t>
      </w:r>
      <w:proofErr w:type="gramStart"/>
      <w:r w:rsidR="00B27CED">
        <w:t>law</w:t>
      </w:r>
      <w:r>
        <w:t>;</w:t>
      </w:r>
      <w:proofErr w:type="gramEnd"/>
    </w:p>
    <w:p w14:paraId="409E497F" w14:textId="71607EF2" w:rsidR="00B27CED" w:rsidRPr="000C6B79" w:rsidRDefault="00733C72" w:rsidP="00757BF2">
      <w:pPr>
        <w:pStyle w:val="NoSpacing"/>
        <w:numPr>
          <w:ilvl w:val="0"/>
          <w:numId w:val="20"/>
        </w:numPr>
      </w:pPr>
      <w:r>
        <w:t>a</w:t>
      </w:r>
      <w:r w:rsidR="00B27CED" w:rsidRPr="000C6B79">
        <w:t xml:space="preserve">ll relevant witnesses will be interviewed, and documents </w:t>
      </w:r>
      <w:proofErr w:type="gramStart"/>
      <w:r w:rsidR="00B27CED" w:rsidRPr="000C6B79">
        <w:t>examined</w:t>
      </w:r>
      <w:r>
        <w:t>;</w:t>
      </w:r>
      <w:proofErr w:type="gramEnd"/>
    </w:p>
    <w:p w14:paraId="13766E66" w14:textId="78B9362D" w:rsidR="00B27CED" w:rsidRPr="000C6B79" w:rsidRDefault="00733C72" w:rsidP="00757BF2">
      <w:pPr>
        <w:pStyle w:val="NoSpacing"/>
        <w:numPr>
          <w:ilvl w:val="0"/>
          <w:numId w:val="20"/>
        </w:numPr>
      </w:pPr>
      <w:r>
        <w:t>c</w:t>
      </w:r>
      <w:r w:rsidR="00B27CED" w:rsidRPr="000C6B79">
        <w:t xml:space="preserve">ontemporaneous notes of all discussions, phone calls and interviews will be </w:t>
      </w:r>
      <w:proofErr w:type="gramStart"/>
      <w:r w:rsidR="00B27CED" w:rsidRPr="000C6B79">
        <w:t>made</w:t>
      </w:r>
      <w:r w:rsidR="000B73D0">
        <w:t>;</w:t>
      </w:r>
      <w:proofErr w:type="gramEnd"/>
    </w:p>
    <w:p w14:paraId="4175E9B0" w14:textId="60C3D5C4" w:rsidR="00B27CED" w:rsidRPr="000C6B79" w:rsidRDefault="00733C72" w:rsidP="00757BF2">
      <w:pPr>
        <w:pStyle w:val="NoSpacing"/>
        <w:numPr>
          <w:ilvl w:val="0"/>
          <w:numId w:val="20"/>
        </w:numPr>
      </w:pPr>
      <w:r>
        <w:t>w</w:t>
      </w:r>
      <w:r w:rsidR="00B27CED" w:rsidRPr="000C6B79">
        <w:t xml:space="preserve">here possible, interviews will be </w:t>
      </w:r>
      <w:proofErr w:type="gramStart"/>
      <w:r w:rsidR="00B27CED" w:rsidRPr="000C6B79">
        <w:t>recorded</w:t>
      </w:r>
      <w:r>
        <w:t>;</w:t>
      </w:r>
      <w:proofErr w:type="gramEnd"/>
    </w:p>
    <w:p w14:paraId="6850B17A" w14:textId="53EC9DF0" w:rsidR="00050D54" w:rsidRDefault="00733C72" w:rsidP="00757BF2">
      <w:pPr>
        <w:pStyle w:val="NoSpacing"/>
        <w:numPr>
          <w:ilvl w:val="0"/>
          <w:numId w:val="20"/>
        </w:numPr>
      </w:pPr>
      <w:r>
        <w:lastRenderedPageBreak/>
        <w:t>a</w:t>
      </w:r>
      <w:r w:rsidR="00B27CED" w:rsidRPr="000C6B79">
        <w:t>ll information obtained will be properly secured to prevent unauthorised access</w:t>
      </w:r>
      <w:r w:rsidR="00715B74">
        <w:t xml:space="preserve"> (see the following section)</w:t>
      </w:r>
      <w:r w:rsidR="002F296C">
        <w:t>; and</w:t>
      </w:r>
    </w:p>
    <w:p w14:paraId="6392EC56" w14:textId="35DA9F12" w:rsidR="00B27CED" w:rsidRPr="008953EA" w:rsidRDefault="002F296C" w:rsidP="00757BF2">
      <w:pPr>
        <w:pStyle w:val="NoSpacing"/>
        <w:numPr>
          <w:ilvl w:val="0"/>
          <w:numId w:val="20"/>
        </w:numPr>
      </w:pPr>
      <w:r w:rsidRPr="008953EA">
        <w:t>the PDC and any other person/s involved in conducting the investigation shall be, as far as possible, unbiased</w:t>
      </w:r>
      <w:r w:rsidR="00B27CED" w:rsidRPr="008953EA">
        <w:t>.</w:t>
      </w:r>
    </w:p>
    <w:p w14:paraId="29ADC567" w14:textId="77777777" w:rsidR="00757BF2" w:rsidRDefault="00757BF2" w:rsidP="00757BF2">
      <w:pPr>
        <w:pStyle w:val="NoSpacing"/>
      </w:pPr>
    </w:p>
    <w:p w14:paraId="03E04055" w14:textId="1B12575A" w:rsidR="00B27CED" w:rsidRDefault="003558F4" w:rsidP="00757BF2">
      <w:pPr>
        <w:pStyle w:val="NoSpacing"/>
        <w:jc w:val="both"/>
      </w:pPr>
      <w:r>
        <w:t>W</w:t>
      </w:r>
      <w:r w:rsidR="00B27CED" w:rsidRPr="000C6B79">
        <w:t xml:space="preserve">here adverse comment about a person is likely to be included in a report, </w:t>
      </w:r>
      <w:r>
        <w:t>t</w:t>
      </w:r>
      <w:r w:rsidRPr="000C6B79">
        <w:t xml:space="preserve">he principles of procedural fairness </w:t>
      </w:r>
      <w:r w:rsidR="00523AD8">
        <w:t xml:space="preserve">and </w:t>
      </w:r>
      <w:r w:rsidRPr="000C6B79">
        <w:t>natural justice will be observed</w:t>
      </w:r>
      <w:r>
        <w:t xml:space="preserve">. </w:t>
      </w:r>
      <w:r w:rsidR="00AC66E2">
        <w:t xml:space="preserve"> Any affected</w:t>
      </w:r>
      <w:r w:rsidR="00B27CED" w:rsidRPr="000C6B79">
        <w:t xml:space="preserve"> person</w:t>
      </w:r>
      <w:r w:rsidR="00AC66E2">
        <w:t>s</w:t>
      </w:r>
      <w:r w:rsidR="00B27CED" w:rsidRPr="000C6B79">
        <w:t xml:space="preserve"> will be given a</w:t>
      </w:r>
      <w:r w:rsidR="00CE40EC">
        <w:t xml:space="preserve"> reasonable</w:t>
      </w:r>
      <w:r w:rsidR="00B27CED" w:rsidRPr="000C6B79">
        <w:t xml:space="preserve"> opportunity to comment during </w:t>
      </w:r>
      <w:r w:rsidR="00B27CED">
        <w:t xml:space="preserve">the investigation </w:t>
      </w:r>
      <w:r w:rsidR="00B27CED" w:rsidRPr="000C6B79">
        <w:t>and any comments will be considered before the report is finalised</w:t>
      </w:r>
      <w:r>
        <w:t xml:space="preserve"> and any action taken (for example if the disclosure is serious and needs to be referred to ASIC or the Federal Police)</w:t>
      </w:r>
      <w:r w:rsidR="00B27CED" w:rsidRPr="000C6B79">
        <w:t>.</w:t>
      </w:r>
      <w:r w:rsidR="00811EFB">
        <w:t xml:space="preserve"> </w:t>
      </w:r>
      <w:r w:rsidR="00A80BE5">
        <w:t xml:space="preserve"> </w:t>
      </w:r>
      <w:r>
        <w:t xml:space="preserve">CCQ will ensure that confidentiality is maintained where </w:t>
      </w:r>
      <w:r w:rsidR="00AC66E2">
        <w:t>reasonable and practicable</w:t>
      </w:r>
      <w:r w:rsidR="00EA0203">
        <w:t>.</w:t>
      </w:r>
    </w:p>
    <w:p w14:paraId="7028BCD4" w14:textId="77777777" w:rsidR="0076718C" w:rsidRDefault="0076718C" w:rsidP="00757BF2">
      <w:pPr>
        <w:pStyle w:val="NoSpacing"/>
      </w:pPr>
    </w:p>
    <w:p w14:paraId="1503D4C6" w14:textId="6DE36788" w:rsidR="00CE40EC" w:rsidRDefault="00CE40EC" w:rsidP="00757BF2">
      <w:pPr>
        <w:pStyle w:val="NoSpacing"/>
        <w:jc w:val="both"/>
      </w:pPr>
      <w:r>
        <w:t xml:space="preserve">If an individual is identified or referred to in a </w:t>
      </w:r>
      <w:r w:rsidR="0076718C">
        <w:t>disclosure,</w:t>
      </w:r>
      <w:r>
        <w:t xml:space="preserve"> but is not accused of any misconduct, their identity will not be disclosed to anyone other than the PDC, unless it is reasonably necessary to conduct the investigation.  </w:t>
      </w:r>
    </w:p>
    <w:p w14:paraId="4459B05B" w14:textId="77777777" w:rsidR="00CE40EC" w:rsidRPr="000C6B79" w:rsidRDefault="00CE40EC" w:rsidP="00757BF2">
      <w:pPr>
        <w:pStyle w:val="NoSpacing"/>
      </w:pPr>
    </w:p>
    <w:p w14:paraId="113B55A4" w14:textId="61D99F47" w:rsidR="00ED70EA" w:rsidRPr="00757BF2" w:rsidRDefault="00715B74" w:rsidP="00757BF2">
      <w:pPr>
        <w:pStyle w:val="NoSpacing"/>
        <w:rPr>
          <w:b/>
          <w:sz w:val="24"/>
          <w:szCs w:val="24"/>
        </w:rPr>
      </w:pPr>
      <w:r w:rsidRPr="00757BF2">
        <w:rPr>
          <w:b/>
          <w:sz w:val="24"/>
          <w:szCs w:val="24"/>
        </w:rPr>
        <w:t>SECURITY</w:t>
      </w:r>
    </w:p>
    <w:p w14:paraId="6859DC2C" w14:textId="566FFF8E" w:rsidR="00B721A2" w:rsidRDefault="00B721A2" w:rsidP="00757BF2">
      <w:pPr>
        <w:pStyle w:val="NoSpacing"/>
      </w:pPr>
    </w:p>
    <w:p w14:paraId="67D80F0E" w14:textId="24DCC0B9" w:rsidR="00715B74" w:rsidRDefault="00715B74" w:rsidP="00757BF2">
      <w:pPr>
        <w:pStyle w:val="NoSpacing"/>
        <w:jc w:val="both"/>
      </w:pPr>
      <w:r>
        <w:t xml:space="preserve">All information received, </w:t>
      </w:r>
      <w:proofErr w:type="gramStart"/>
      <w:r>
        <w:t>produced</w:t>
      </w:r>
      <w:proofErr w:type="gramEnd"/>
      <w:r>
        <w:t xml:space="preserve"> and shared in relation to a Misconduct Disclosure will be stored and transferred in a secure manner.  In particular, the PDC will ensure that</w:t>
      </w:r>
      <w:r w:rsidRPr="008953EA">
        <w:t>:</w:t>
      </w:r>
    </w:p>
    <w:p w14:paraId="43DA40C3" w14:textId="77777777" w:rsidR="00757BF2" w:rsidRPr="008953EA" w:rsidRDefault="00757BF2" w:rsidP="00757BF2">
      <w:pPr>
        <w:pStyle w:val="NoSpacing"/>
        <w:jc w:val="both"/>
      </w:pPr>
    </w:p>
    <w:p w14:paraId="69E125FA" w14:textId="355FD607" w:rsidR="00715B74" w:rsidRPr="008953EA" w:rsidRDefault="00715B74" w:rsidP="00757BF2">
      <w:pPr>
        <w:pStyle w:val="NoSpacing"/>
        <w:numPr>
          <w:ilvl w:val="0"/>
          <w:numId w:val="21"/>
        </w:numPr>
        <w:jc w:val="both"/>
      </w:pPr>
      <w:r w:rsidRPr="008953EA">
        <w:t xml:space="preserve">all paper and electronic documents and other materials relating to </w:t>
      </w:r>
      <w:r>
        <w:t>Misconduct D</w:t>
      </w:r>
      <w:r w:rsidRPr="008953EA">
        <w:t>isclosures are stored securely</w:t>
      </w:r>
      <w:r>
        <w:t xml:space="preserve"> </w:t>
      </w:r>
      <w:proofErr w:type="gramStart"/>
      <w:r>
        <w:t>e.g.</w:t>
      </w:r>
      <w:proofErr w:type="gramEnd"/>
      <w:r>
        <w:t xml:space="preserve"> in a locked filing cabinet or in accordance with the CCQ Information Technology Security Management Guideline</w:t>
      </w:r>
      <w:r w:rsidR="00AC66E2">
        <w:t>, and will be retained until they are no longer required and they are legally permitted and/or required to be permanently destroyed</w:t>
      </w:r>
      <w:r w:rsidRPr="008953EA">
        <w:t>;</w:t>
      </w:r>
    </w:p>
    <w:p w14:paraId="6A5E56D0" w14:textId="797D31AB" w:rsidR="00715B74" w:rsidRPr="008953EA" w:rsidRDefault="00715B74" w:rsidP="00757BF2">
      <w:pPr>
        <w:pStyle w:val="NoSpacing"/>
        <w:numPr>
          <w:ilvl w:val="0"/>
          <w:numId w:val="21"/>
        </w:numPr>
        <w:jc w:val="both"/>
      </w:pPr>
      <w:r w:rsidRPr="008953EA">
        <w:t xml:space="preserve">all information relating to a </w:t>
      </w:r>
      <w:r>
        <w:t>Misconduct D</w:t>
      </w:r>
      <w:r w:rsidRPr="008953EA">
        <w:t xml:space="preserve">isclosure can only be accessed by those directly involved in managing and investigating the </w:t>
      </w:r>
      <w:r>
        <w:t xml:space="preserve">Misconduct </w:t>
      </w:r>
      <w:proofErr w:type="gramStart"/>
      <w:r>
        <w:t>D</w:t>
      </w:r>
      <w:r w:rsidRPr="008953EA">
        <w:t>isclosure;</w:t>
      </w:r>
      <w:proofErr w:type="gramEnd"/>
    </w:p>
    <w:p w14:paraId="56246786" w14:textId="289AF45B" w:rsidR="00715B74" w:rsidRPr="008953EA" w:rsidRDefault="00715B74" w:rsidP="00757BF2">
      <w:pPr>
        <w:pStyle w:val="NoSpacing"/>
        <w:numPr>
          <w:ilvl w:val="0"/>
          <w:numId w:val="21"/>
        </w:numPr>
        <w:jc w:val="both"/>
      </w:pPr>
      <w:r w:rsidRPr="008953EA">
        <w:t xml:space="preserve">only </w:t>
      </w:r>
      <w:r w:rsidR="00D43D73">
        <w:t xml:space="preserve">those </w:t>
      </w:r>
      <w:r w:rsidRPr="008953EA">
        <w:t xml:space="preserve">people who are directly involved in </w:t>
      </w:r>
      <w:r w:rsidR="00D43D73">
        <w:t>managing</w:t>
      </w:r>
      <w:r w:rsidRPr="008953EA">
        <w:t xml:space="preserve"> and investigating a </w:t>
      </w:r>
      <w:r w:rsidR="00D43D73">
        <w:t>Misconduct D</w:t>
      </w:r>
      <w:r w:rsidRPr="008953EA">
        <w:t xml:space="preserve">isclosure </w:t>
      </w:r>
      <w:r w:rsidR="00D43D73">
        <w:t xml:space="preserve">are </w:t>
      </w:r>
      <w:r w:rsidRPr="008953EA">
        <w:t xml:space="preserve">made aware of a </w:t>
      </w:r>
      <w:r w:rsidR="00D43D73">
        <w:t>Whistleblower’s</w:t>
      </w:r>
      <w:r w:rsidRPr="008953EA">
        <w:t xml:space="preserve"> identity or information that is likely to lead to the identification of the </w:t>
      </w:r>
      <w:proofErr w:type="gramStart"/>
      <w:r w:rsidR="00D43D73">
        <w:t>Whistleblower</w:t>
      </w:r>
      <w:r w:rsidRPr="008953EA">
        <w:t>;</w:t>
      </w:r>
      <w:proofErr w:type="gramEnd"/>
    </w:p>
    <w:p w14:paraId="790D0046" w14:textId="11ECD625" w:rsidR="00715B74" w:rsidRPr="008953EA" w:rsidRDefault="00715B74" w:rsidP="00757BF2">
      <w:pPr>
        <w:pStyle w:val="NoSpacing"/>
        <w:numPr>
          <w:ilvl w:val="0"/>
          <w:numId w:val="21"/>
        </w:numPr>
        <w:jc w:val="both"/>
      </w:pPr>
      <w:r w:rsidRPr="008953EA">
        <w:t xml:space="preserve">communications and documents relating to the investigation of a </w:t>
      </w:r>
      <w:r w:rsidR="00D43D73">
        <w:t>Misconduct D</w:t>
      </w:r>
      <w:r w:rsidRPr="008953EA">
        <w:t xml:space="preserve">isclosure are not sent to an email address or to a printer that can be accessed by other </w:t>
      </w:r>
      <w:r w:rsidR="00D43D73">
        <w:t>CCQ employees</w:t>
      </w:r>
      <w:r w:rsidRPr="008953EA">
        <w:t>; and</w:t>
      </w:r>
    </w:p>
    <w:p w14:paraId="21ABCC72" w14:textId="233A51AD" w:rsidR="00715B74" w:rsidRPr="008953EA" w:rsidRDefault="00715B74" w:rsidP="00757BF2">
      <w:pPr>
        <w:pStyle w:val="NoSpacing"/>
        <w:numPr>
          <w:ilvl w:val="0"/>
          <w:numId w:val="21"/>
        </w:numPr>
        <w:jc w:val="both"/>
      </w:pPr>
      <w:r w:rsidRPr="008953EA">
        <w:t xml:space="preserve">each person who is involved in handling and investigating a disclosure is reminded that they should keep the identity of the </w:t>
      </w:r>
      <w:r w:rsidR="00D43D73">
        <w:t xml:space="preserve">Whistleblower </w:t>
      </w:r>
      <w:r w:rsidRPr="008953EA">
        <w:t xml:space="preserve">and the </w:t>
      </w:r>
      <w:r w:rsidR="00D43D73">
        <w:t>Miscondu</w:t>
      </w:r>
      <w:r w:rsidR="00ED30E7">
        <w:t>c</w:t>
      </w:r>
      <w:r w:rsidR="00D43D73">
        <w:t>t D</w:t>
      </w:r>
      <w:r w:rsidRPr="008953EA">
        <w:t xml:space="preserve">isclosure confidential and that an unauthorised disclosure of a </w:t>
      </w:r>
      <w:r w:rsidR="00D43D73">
        <w:t>Whistleblower’s</w:t>
      </w:r>
      <w:r w:rsidRPr="008953EA">
        <w:t xml:space="preserve"> identity may be a criminal offence.</w:t>
      </w:r>
    </w:p>
    <w:p w14:paraId="6266AFF9" w14:textId="77777777" w:rsidR="00757BF2" w:rsidRDefault="00757BF2" w:rsidP="00757BF2">
      <w:pPr>
        <w:pStyle w:val="NoSpacing"/>
        <w:rPr>
          <w:caps/>
        </w:rPr>
      </w:pPr>
    </w:p>
    <w:p w14:paraId="566C9A3F" w14:textId="26F36497" w:rsidR="00190841" w:rsidRPr="00757BF2" w:rsidRDefault="00190841" w:rsidP="00757BF2">
      <w:pPr>
        <w:pStyle w:val="NoSpacing"/>
        <w:rPr>
          <w:b/>
          <w:bCs/>
          <w:caps/>
          <w:sz w:val="24"/>
          <w:szCs w:val="24"/>
        </w:rPr>
      </w:pPr>
      <w:r w:rsidRPr="00757BF2">
        <w:rPr>
          <w:b/>
          <w:bCs/>
          <w:caps/>
          <w:sz w:val="24"/>
          <w:szCs w:val="24"/>
        </w:rPr>
        <w:t>Findings</w:t>
      </w:r>
    </w:p>
    <w:p w14:paraId="1F664D37" w14:textId="77777777" w:rsidR="00190841" w:rsidRPr="000C6B79" w:rsidRDefault="00190841" w:rsidP="00757BF2">
      <w:pPr>
        <w:pStyle w:val="NoSpacing"/>
      </w:pPr>
    </w:p>
    <w:p w14:paraId="32ACEE6E" w14:textId="1034BE21" w:rsidR="00190841" w:rsidRPr="000C6B79" w:rsidRDefault="00190841" w:rsidP="00511F39">
      <w:pPr>
        <w:pStyle w:val="NoSpacing"/>
        <w:jc w:val="both"/>
      </w:pPr>
      <w:r w:rsidRPr="000C6B79">
        <w:t>A report will be prepared</w:t>
      </w:r>
      <w:r w:rsidR="00BF56FC">
        <w:t xml:space="preserve"> by the PDC</w:t>
      </w:r>
      <w:r w:rsidRPr="000C6B79">
        <w:t xml:space="preserve"> when an investigation is completed.  This report will include:</w:t>
      </w:r>
    </w:p>
    <w:p w14:paraId="6EAAD23B" w14:textId="77777777" w:rsidR="00511F39" w:rsidRDefault="00511F39" w:rsidP="00511F39">
      <w:pPr>
        <w:pStyle w:val="NoSpacing"/>
        <w:jc w:val="both"/>
      </w:pPr>
    </w:p>
    <w:p w14:paraId="538FEFF1" w14:textId="034E51F5" w:rsidR="00190841" w:rsidRPr="000C6B79" w:rsidRDefault="00190841" w:rsidP="00511F39">
      <w:pPr>
        <w:pStyle w:val="NoSpacing"/>
        <w:numPr>
          <w:ilvl w:val="0"/>
          <w:numId w:val="22"/>
        </w:numPr>
        <w:jc w:val="both"/>
      </w:pPr>
      <w:r w:rsidRPr="000C6B79">
        <w:t xml:space="preserve">the </w:t>
      </w:r>
      <w:proofErr w:type="gramStart"/>
      <w:r w:rsidRPr="000C6B79">
        <w:t>allegations</w:t>
      </w:r>
      <w:r>
        <w:t>;</w:t>
      </w:r>
      <w:proofErr w:type="gramEnd"/>
    </w:p>
    <w:p w14:paraId="53F4D2A2" w14:textId="77777777" w:rsidR="00190841" w:rsidRPr="000C6B79" w:rsidRDefault="00190841" w:rsidP="00511F39">
      <w:pPr>
        <w:pStyle w:val="NoSpacing"/>
        <w:numPr>
          <w:ilvl w:val="0"/>
          <w:numId w:val="22"/>
        </w:numPr>
        <w:jc w:val="both"/>
      </w:pPr>
      <w:r w:rsidRPr="000C6B79">
        <w:t xml:space="preserve">a statement of all relevant findings of fact and the evidence relied upon in reaching any </w:t>
      </w:r>
      <w:proofErr w:type="gramStart"/>
      <w:r w:rsidRPr="000C6B79">
        <w:t>conclusions</w:t>
      </w:r>
      <w:r>
        <w:t>;</w:t>
      </w:r>
      <w:proofErr w:type="gramEnd"/>
    </w:p>
    <w:p w14:paraId="724161C5" w14:textId="77777777" w:rsidR="00190841" w:rsidRPr="000C6B79" w:rsidRDefault="00190841" w:rsidP="00511F39">
      <w:pPr>
        <w:pStyle w:val="NoSpacing"/>
        <w:numPr>
          <w:ilvl w:val="0"/>
          <w:numId w:val="22"/>
        </w:numPr>
        <w:jc w:val="both"/>
      </w:pPr>
      <w:r w:rsidRPr="000C6B79">
        <w:lastRenderedPageBreak/>
        <w:t xml:space="preserve">the conclusions reached (including the damage caused, if any, and the impact on </w:t>
      </w:r>
      <w:r>
        <w:t xml:space="preserve">CCQ </w:t>
      </w:r>
      <w:r w:rsidRPr="000C6B79">
        <w:t>and other affected parties) and their basis</w:t>
      </w:r>
      <w:r>
        <w:t>; and</w:t>
      </w:r>
    </w:p>
    <w:p w14:paraId="5150C95D" w14:textId="37B3C68B" w:rsidR="00190841" w:rsidRDefault="00190841" w:rsidP="00511F39">
      <w:pPr>
        <w:pStyle w:val="NoSpacing"/>
        <w:numPr>
          <w:ilvl w:val="0"/>
          <w:numId w:val="22"/>
        </w:numPr>
        <w:jc w:val="both"/>
      </w:pPr>
      <w:r w:rsidRPr="000C6B79">
        <w:t>recommended actions on those conclusions to address any wrongdoing identified and any other matters arising during the investigation.</w:t>
      </w:r>
    </w:p>
    <w:p w14:paraId="5F91AE2E" w14:textId="77777777" w:rsidR="00511F39" w:rsidRDefault="00511F39" w:rsidP="00511F39">
      <w:pPr>
        <w:pStyle w:val="NoSpacing"/>
        <w:jc w:val="both"/>
      </w:pPr>
    </w:p>
    <w:p w14:paraId="4DAD832E" w14:textId="05323BAE" w:rsidR="0063635B" w:rsidRDefault="00DF543A" w:rsidP="00511F39">
      <w:pPr>
        <w:pStyle w:val="NoSpacing"/>
        <w:jc w:val="both"/>
      </w:pPr>
      <w:r>
        <w:t>A</w:t>
      </w:r>
      <w:r w:rsidR="00BF56FC">
        <w:t xml:space="preserve"> copy of the report will be provided to CCQ’s Chief Executive Officer</w:t>
      </w:r>
      <w:r w:rsidR="008B605B">
        <w:t xml:space="preserve"> (</w:t>
      </w:r>
      <w:r w:rsidR="00BA64FC">
        <w:t>or</w:t>
      </w:r>
      <w:r w:rsidR="007F0A82">
        <w:t xml:space="preserve"> if</w:t>
      </w:r>
      <w:r w:rsidR="008B605B">
        <w:t xml:space="preserve"> the CEO is the subject of the </w:t>
      </w:r>
      <w:r w:rsidR="007F0A82">
        <w:t>complaint to Chair of the Board or, failing that, any Director who is not the subject of the complaint)</w:t>
      </w:r>
      <w:r w:rsidR="00AA0F90">
        <w:t>.</w:t>
      </w:r>
      <w:r>
        <w:t xml:space="preserve"> </w:t>
      </w:r>
      <w:r w:rsidR="00AA0F90">
        <w:t xml:space="preserve"> The </w:t>
      </w:r>
      <w:r w:rsidR="005A54A3">
        <w:t xml:space="preserve">PDC will inform the </w:t>
      </w:r>
      <w:r w:rsidR="00AA0F90">
        <w:t xml:space="preserve">Whistleblower </w:t>
      </w:r>
      <w:r w:rsidR="00EF65A1">
        <w:t xml:space="preserve">of the outcomes of the investigation </w:t>
      </w:r>
      <w:r w:rsidR="00AA0F90">
        <w:t>(with any confidential information redacted)</w:t>
      </w:r>
      <w:r w:rsidR="00791160">
        <w:t xml:space="preserve"> but </w:t>
      </w:r>
      <w:r w:rsidR="008B605B">
        <w:t xml:space="preserve">the Whistleblower </w:t>
      </w:r>
      <w:r w:rsidR="00791160">
        <w:t>will not necessarily receive a copy of the report</w:t>
      </w:r>
      <w:r w:rsidR="00AA0F90">
        <w:t xml:space="preserve">.  </w:t>
      </w:r>
      <w:r w:rsidR="0063635B">
        <w:t xml:space="preserve">Where the </w:t>
      </w:r>
      <w:r w:rsidR="00677992">
        <w:t xml:space="preserve">Misconduct Disclosure </w:t>
      </w:r>
      <w:r w:rsidR="00D8543E">
        <w:t xml:space="preserve">has been made anonymously via an Internal Eligible Recipient </w:t>
      </w:r>
      <w:r w:rsidR="00632FB2">
        <w:t xml:space="preserve">the </w:t>
      </w:r>
      <w:r w:rsidR="00F33C43">
        <w:t xml:space="preserve">PDC will </w:t>
      </w:r>
      <w:r w:rsidR="00632FB2">
        <w:t>provide</w:t>
      </w:r>
      <w:r w:rsidR="00F33C43">
        <w:t xml:space="preserve"> the outcomes</w:t>
      </w:r>
      <w:r w:rsidR="00632FB2">
        <w:t xml:space="preserve"> to the Internal Eligible Recipient for </w:t>
      </w:r>
      <w:r w:rsidR="00677992">
        <w:t>them to pass on to the Whistleblower.</w:t>
      </w:r>
    </w:p>
    <w:p w14:paraId="3557BE2B" w14:textId="77777777" w:rsidR="0063635B" w:rsidRDefault="0063635B" w:rsidP="00511F39">
      <w:pPr>
        <w:pStyle w:val="NoSpacing"/>
        <w:jc w:val="both"/>
      </w:pPr>
    </w:p>
    <w:p w14:paraId="254694EC" w14:textId="148E6224" w:rsidR="00BF56FC" w:rsidRPr="008953EA" w:rsidRDefault="00AA0F90" w:rsidP="00511F39">
      <w:pPr>
        <w:pStyle w:val="NoSpacing"/>
        <w:jc w:val="both"/>
      </w:pPr>
      <w:r>
        <w:t>W</w:t>
      </w:r>
      <w:r w:rsidR="00DF543A">
        <w:t>here the Misconduct Disclosure has been previously reported to the Company Secretary, the FARM Committee and the Board, a copy of the report (with any confidential information redacted) will also be provided to those individuals and groups</w:t>
      </w:r>
      <w:r w:rsidR="00BF56FC">
        <w:t>.</w:t>
      </w:r>
    </w:p>
    <w:p w14:paraId="681CE38C" w14:textId="4C1F2CAA" w:rsidR="00CE40EC" w:rsidRDefault="00CE40EC" w:rsidP="00757BF2">
      <w:pPr>
        <w:pStyle w:val="NoSpacing"/>
      </w:pPr>
    </w:p>
    <w:p w14:paraId="6301597C" w14:textId="34FA6BD4" w:rsidR="00CE40EC" w:rsidRPr="00511F39" w:rsidRDefault="00CE40EC" w:rsidP="00EE733C">
      <w:pPr>
        <w:pStyle w:val="NoSpacing"/>
        <w:keepNext/>
        <w:rPr>
          <w:b/>
          <w:caps/>
          <w:sz w:val="24"/>
          <w:szCs w:val="24"/>
        </w:rPr>
      </w:pPr>
      <w:r w:rsidRPr="00511F39">
        <w:rPr>
          <w:b/>
          <w:caps/>
          <w:sz w:val="24"/>
          <w:szCs w:val="24"/>
        </w:rPr>
        <w:t>review</w:t>
      </w:r>
    </w:p>
    <w:p w14:paraId="21A53240" w14:textId="77777777" w:rsidR="00AA0F90" w:rsidRPr="008953EA" w:rsidRDefault="00AA0F90" w:rsidP="00EE733C">
      <w:pPr>
        <w:pStyle w:val="NoSpacing"/>
        <w:keepNext/>
        <w:rPr>
          <w:bCs/>
          <w:caps/>
        </w:rPr>
      </w:pPr>
    </w:p>
    <w:p w14:paraId="2349C5EF" w14:textId="0D52AE80" w:rsidR="00190841" w:rsidRDefault="00CE40EC" w:rsidP="00EE733C">
      <w:pPr>
        <w:pStyle w:val="NoSpacing"/>
        <w:keepNext/>
        <w:jc w:val="both"/>
      </w:pPr>
      <w:r>
        <w:t xml:space="preserve">After </w:t>
      </w:r>
      <w:r w:rsidR="00C7116D">
        <w:t>the conclusion</w:t>
      </w:r>
      <w:r>
        <w:t xml:space="preserve"> of </w:t>
      </w:r>
      <w:r w:rsidR="00C7116D">
        <w:t>an</w:t>
      </w:r>
      <w:r>
        <w:t xml:space="preserve"> investigation</w:t>
      </w:r>
      <w:r w:rsidR="00C7116D">
        <w:t>,</w:t>
      </w:r>
      <w:r>
        <w:t xml:space="preserve"> </w:t>
      </w:r>
      <w:r w:rsidR="00C7116D">
        <w:t xml:space="preserve">if </w:t>
      </w:r>
      <w:r w:rsidR="00A07C5F">
        <w:t xml:space="preserve">the Whistleblower </w:t>
      </w:r>
      <w:bookmarkStart w:id="0" w:name="_Hlk23166399"/>
      <w:r w:rsidR="00A07C5F">
        <w:t xml:space="preserve">has a genuine or reasonable concern that the </w:t>
      </w:r>
      <w:r w:rsidR="00C7116D">
        <w:t>Misconduct D</w:t>
      </w:r>
      <w:r w:rsidR="00A07C5F">
        <w:t>isclosure has not been adequately dea</w:t>
      </w:r>
      <w:r w:rsidR="00D43D73">
        <w:t>l</w:t>
      </w:r>
      <w:r w:rsidR="00A07C5F">
        <w:t>t with</w:t>
      </w:r>
      <w:bookmarkEnd w:id="0"/>
      <w:r w:rsidR="00A07C5F">
        <w:t>, the Whistleblower may</w:t>
      </w:r>
      <w:r w:rsidR="00C7116D">
        <w:t xml:space="preserve"> report these concerns to the </w:t>
      </w:r>
      <w:r w:rsidR="008E24B1">
        <w:t>Chair of the PDC</w:t>
      </w:r>
      <w:r w:rsidR="00C7116D">
        <w:t xml:space="preserve">.  The </w:t>
      </w:r>
      <w:r w:rsidR="008E24B1">
        <w:t xml:space="preserve">Chair of the PDC </w:t>
      </w:r>
      <w:r w:rsidR="00C7116D">
        <w:t xml:space="preserve">will then </w:t>
      </w:r>
      <w:r w:rsidR="00463F5C">
        <w:t>inform</w:t>
      </w:r>
      <w:r w:rsidR="00C7116D">
        <w:t xml:space="preserve"> the members of the original PDC and </w:t>
      </w:r>
      <w:r w:rsidR="00463F5C">
        <w:t>will refer the Misconduct Disclosure to the</w:t>
      </w:r>
      <w:r w:rsidR="00C7116D">
        <w:t xml:space="preserve"> CEO</w:t>
      </w:r>
      <w:r w:rsidR="00463F5C">
        <w:t xml:space="preserve"> (or </w:t>
      </w:r>
      <w:r w:rsidR="0042726D">
        <w:t xml:space="preserve">if the CEO is the subject of the complaint to the </w:t>
      </w:r>
      <w:r w:rsidR="00463F5C">
        <w:t>Chair of the Board</w:t>
      </w:r>
      <w:r w:rsidR="0042726D">
        <w:t xml:space="preserve"> or failing, that any Director</w:t>
      </w:r>
      <w:r w:rsidR="00463F5C">
        <w:t>)</w:t>
      </w:r>
      <w:r w:rsidR="00C7116D">
        <w:t xml:space="preserve"> </w:t>
      </w:r>
      <w:proofErr w:type="gramStart"/>
      <w:r w:rsidR="00C7116D">
        <w:t>in order to</w:t>
      </w:r>
      <w:proofErr w:type="gramEnd"/>
      <w:r w:rsidR="00C7116D">
        <w:t xml:space="preserve"> assess whether the concerns are </w:t>
      </w:r>
      <w:r w:rsidR="00B766AB">
        <w:t>genuine</w:t>
      </w:r>
      <w:r w:rsidR="00C7116D">
        <w:t xml:space="preserve"> and reasonable, and if so an alternative PDC (consisting of different members to the original PDC) will be established to further investigate the Misconduct Disclosure.</w:t>
      </w:r>
    </w:p>
    <w:p w14:paraId="5DAD6AC5" w14:textId="60E5FEC7" w:rsidR="00C763C9" w:rsidRDefault="00C763C9" w:rsidP="00511F39">
      <w:pPr>
        <w:pStyle w:val="NoSpacing"/>
        <w:jc w:val="both"/>
      </w:pPr>
    </w:p>
    <w:p w14:paraId="25B1B329" w14:textId="09B74DC9" w:rsidR="00C763C9" w:rsidRDefault="00E954D3" w:rsidP="00511F39">
      <w:pPr>
        <w:pStyle w:val="NoSpacing"/>
        <w:jc w:val="both"/>
      </w:pPr>
      <w:r>
        <w:t>The CEO (or Chair of the Board</w:t>
      </w:r>
      <w:r w:rsidR="00F84570">
        <w:t xml:space="preserve"> or other Director</w:t>
      </w:r>
      <w:r>
        <w:t>)</w:t>
      </w:r>
      <w:r w:rsidR="00C763C9">
        <w:t xml:space="preserve"> is not obliged to reopen an investigation. The </w:t>
      </w:r>
      <w:r>
        <w:t xml:space="preserve">CEO (or </w:t>
      </w:r>
      <w:r w:rsidR="00C763C9" w:rsidRPr="00E954D3">
        <w:t xml:space="preserve">Chair of the </w:t>
      </w:r>
      <w:r>
        <w:t>Board</w:t>
      </w:r>
      <w:r w:rsidR="00F84570">
        <w:t xml:space="preserve"> or other Director</w:t>
      </w:r>
      <w:r>
        <w:t>)</w:t>
      </w:r>
      <w:r w:rsidR="00C763C9">
        <w:t xml:space="preserve"> can conclude a review if he/she finds that the investigation was conducted properly, or new information is either not available or would not change the find</w:t>
      </w:r>
      <w:r>
        <w:t>ings</w:t>
      </w:r>
      <w:r w:rsidR="00C763C9">
        <w:t xml:space="preserve"> of the investigation. </w:t>
      </w:r>
    </w:p>
    <w:p w14:paraId="162874BC" w14:textId="77777777" w:rsidR="00C763C9" w:rsidRDefault="00C763C9" w:rsidP="00511F39">
      <w:pPr>
        <w:pStyle w:val="NoSpacing"/>
        <w:jc w:val="both"/>
      </w:pPr>
    </w:p>
    <w:p w14:paraId="726BF1C1" w14:textId="37FD14C1" w:rsidR="00C763C9" w:rsidRDefault="00C763C9" w:rsidP="00511F39">
      <w:pPr>
        <w:pStyle w:val="NoSpacing"/>
        <w:jc w:val="both"/>
      </w:pPr>
      <w:r>
        <w:t xml:space="preserve">A Whistleblower may lodge a complaint with </w:t>
      </w:r>
      <w:r w:rsidR="00670043">
        <w:t xml:space="preserve">the relevant </w:t>
      </w:r>
      <w:r w:rsidR="006D6EBF">
        <w:t xml:space="preserve">government body or </w:t>
      </w:r>
      <w:r>
        <w:t>regulator such as ASIC</w:t>
      </w:r>
      <w:r w:rsidR="00183AB2">
        <w:t xml:space="preserve"> or the Queensland Human Rights Commission (if the complaint relates to a breach of the Human Rights Act)</w:t>
      </w:r>
      <w:r w:rsidR="005D30E5">
        <w:t xml:space="preserve"> </w:t>
      </w:r>
      <w:r>
        <w:t>if they are not satisfied with the outcome of the PDC investigation</w:t>
      </w:r>
      <w:r w:rsidR="00E954D3">
        <w:t xml:space="preserve"> or the decision of the CEO (or Chair of the Board</w:t>
      </w:r>
      <w:r w:rsidR="00F84570">
        <w:t xml:space="preserve"> or other Director</w:t>
      </w:r>
      <w:r w:rsidR="00E954D3">
        <w:t>)</w:t>
      </w:r>
      <w:r>
        <w:t xml:space="preserve">. </w:t>
      </w:r>
    </w:p>
    <w:p w14:paraId="700B143F" w14:textId="77777777" w:rsidR="00C763C9" w:rsidRPr="008953EA" w:rsidRDefault="00C763C9" w:rsidP="00511F39">
      <w:pPr>
        <w:pStyle w:val="NoSpacing"/>
        <w:jc w:val="both"/>
      </w:pPr>
    </w:p>
    <w:p w14:paraId="29D11930" w14:textId="77777777" w:rsidR="00511F39" w:rsidRDefault="00511F39" w:rsidP="00757BF2">
      <w:pPr>
        <w:pStyle w:val="NoSpacing"/>
      </w:pPr>
    </w:p>
    <w:p w14:paraId="3E08126C" w14:textId="73309500" w:rsidR="00190841" w:rsidRPr="00511F39" w:rsidRDefault="00190841" w:rsidP="00757BF2">
      <w:pPr>
        <w:pStyle w:val="NoSpacing"/>
        <w:rPr>
          <w:b/>
          <w:bCs/>
          <w:sz w:val="28"/>
          <w:szCs w:val="28"/>
        </w:rPr>
      </w:pPr>
      <w:r w:rsidRPr="00511F39">
        <w:rPr>
          <w:b/>
          <w:bCs/>
          <w:sz w:val="28"/>
          <w:szCs w:val="28"/>
        </w:rPr>
        <w:t>Eligibility</w:t>
      </w:r>
    </w:p>
    <w:p w14:paraId="56B7971E" w14:textId="77777777" w:rsidR="00190841" w:rsidRPr="009C4DF9" w:rsidRDefault="00190841" w:rsidP="00757BF2">
      <w:pPr>
        <w:pStyle w:val="NoSpacing"/>
      </w:pPr>
    </w:p>
    <w:p w14:paraId="5C2D4A97" w14:textId="38CD8F5A" w:rsidR="00190841" w:rsidRPr="009C4DF9" w:rsidRDefault="00190841" w:rsidP="00511F39">
      <w:pPr>
        <w:pStyle w:val="NoSpacing"/>
        <w:jc w:val="both"/>
      </w:pPr>
      <w:r w:rsidRPr="009C4DF9">
        <w:t xml:space="preserve">This guideline applies to </w:t>
      </w:r>
      <w:r>
        <w:t>all</w:t>
      </w:r>
      <w:r w:rsidR="002A2A10">
        <w:t xml:space="preserve"> CCQ employees, volunteers and interns and all</w:t>
      </w:r>
      <w:r>
        <w:t xml:space="preserve"> </w:t>
      </w:r>
      <w:r w:rsidR="00D43D73">
        <w:t xml:space="preserve">potential </w:t>
      </w:r>
      <w:proofErr w:type="spellStart"/>
      <w:r w:rsidR="00D43D73">
        <w:t>Whistleblowers</w:t>
      </w:r>
      <w:proofErr w:type="spellEnd"/>
      <w:r w:rsidR="00D43D73">
        <w:t xml:space="preserve"> and </w:t>
      </w:r>
      <w:r w:rsidR="000B73D0">
        <w:t xml:space="preserve">Internal </w:t>
      </w:r>
      <w:r w:rsidR="002A2A10">
        <w:t xml:space="preserve">Eligible </w:t>
      </w:r>
      <w:r w:rsidR="00D43D73">
        <w:t>Recipients</w:t>
      </w:r>
      <w:r>
        <w:t>.</w:t>
      </w:r>
    </w:p>
    <w:p w14:paraId="509363E3" w14:textId="2CF24C57" w:rsidR="00C311F9" w:rsidRDefault="00C311F9">
      <w:pPr>
        <w:spacing w:after="200" w:line="276" w:lineRule="auto"/>
        <w:rPr>
          <w:rFonts w:ascii="Arial" w:eastAsiaTheme="minorHAnsi" w:hAnsi="Arial" w:cstheme="minorBidi"/>
          <w:sz w:val="22"/>
          <w:szCs w:val="22"/>
          <w:lang w:eastAsia="en-US"/>
        </w:rPr>
      </w:pPr>
      <w:r>
        <w:br w:type="page"/>
      </w:r>
    </w:p>
    <w:p w14:paraId="416BDDEC" w14:textId="77777777" w:rsidR="00190841" w:rsidRPr="00511F39" w:rsidRDefault="00190841" w:rsidP="00757BF2">
      <w:pPr>
        <w:pStyle w:val="NoSpacing"/>
        <w:rPr>
          <w:b/>
          <w:bCs/>
          <w:sz w:val="28"/>
          <w:szCs w:val="28"/>
        </w:rPr>
      </w:pPr>
      <w:r w:rsidRPr="00511F39">
        <w:rPr>
          <w:b/>
          <w:bCs/>
          <w:sz w:val="28"/>
          <w:szCs w:val="28"/>
        </w:rPr>
        <w:lastRenderedPageBreak/>
        <w:t>Associated CCQ Documents</w:t>
      </w:r>
    </w:p>
    <w:p w14:paraId="42E8C067" w14:textId="77777777" w:rsidR="00511F39" w:rsidRDefault="00511F39" w:rsidP="00757BF2">
      <w:pPr>
        <w:pStyle w:val="NoSpacing"/>
      </w:pPr>
    </w:p>
    <w:p w14:paraId="04CD2E8C" w14:textId="55C00766" w:rsidR="00190841" w:rsidRPr="004919CD" w:rsidRDefault="00190841" w:rsidP="00511F39">
      <w:pPr>
        <w:pStyle w:val="NoSpacing"/>
        <w:numPr>
          <w:ilvl w:val="0"/>
          <w:numId w:val="23"/>
        </w:numPr>
      </w:pPr>
      <w:r w:rsidRPr="004919CD">
        <w:t>Workplace Policy</w:t>
      </w:r>
    </w:p>
    <w:p w14:paraId="4E7F5D71" w14:textId="77777777" w:rsidR="00190841" w:rsidRPr="004919CD" w:rsidRDefault="00190841" w:rsidP="00511F39">
      <w:pPr>
        <w:pStyle w:val="NoSpacing"/>
        <w:numPr>
          <w:ilvl w:val="0"/>
          <w:numId w:val="23"/>
        </w:numPr>
      </w:pPr>
      <w:r w:rsidRPr="004919CD">
        <w:t xml:space="preserve">Grievance </w:t>
      </w:r>
      <w:r>
        <w:t>Guideline</w:t>
      </w:r>
    </w:p>
    <w:p w14:paraId="073094D1" w14:textId="77777777" w:rsidR="00190841" w:rsidRPr="004919CD" w:rsidRDefault="00190841" w:rsidP="00511F39">
      <w:pPr>
        <w:pStyle w:val="NoSpacing"/>
        <w:numPr>
          <w:ilvl w:val="0"/>
          <w:numId w:val="23"/>
        </w:numPr>
      </w:pPr>
      <w:r w:rsidRPr="004919CD">
        <w:t>Code of Conduct</w:t>
      </w:r>
    </w:p>
    <w:p w14:paraId="6DC9C474" w14:textId="77777777" w:rsidR="00190841" w:rsidRDefault="00190841" w:rsidP="00511F39">
      <w:pPr>
        <w:pStyle w:val="NoSpacing"/>
        <w:numPr>
          <w:ilvl w:val="0"/>
          <w:numId w:val="23"/>
        </w:numPr>
      </w:pPr>
      <w:r w:rsidRPr="004919CD">
        <w:t>Risk Management Policy</w:t>
      </w:r>
    </w:p>
    <w:p w14:paraId="70828E9F" w14:textId="3CCA0B47" w:rsidR="00190841" w:rsidRDefault="00190841" w:rsidP="00511F39">
      <w:pPr>
        <w:pStyle w:val="NoSpacing"/>
        <w:numPr>
          <w:ilvl w:val="0"/>
          <w:numId w:val="23"/>
        </w:numPr>
      </w:pPr>
      <w:r>
        <w:t>Risk Management Framework</w:t>
      </w:r>
    </w:p>
    <w:p w14:paraId="2E1F80E8" w14:textId="6FE48E4B" w:rsidR="00C7116D" w:rsidRDefault="00C7116D" w:rsidP="00511F39">
      <w:pPr>
        <w:pStyle w:val="NoSpacing"/>
        <w:numPr>
          <w:ilvl w:val="0"/>
          <w:numId w:val="23"/>
        </w:numPr>
      </w:pPr>
      <w:r>
        <w:t>Risk Register</w:t>
      </w:r>
    </w:p>
    <w:p w14:paraId="5BA66CF6" w14:textId="5B9D0014" w:rsidR="00190841" w:rsidRDefault="00190841" w:rsidP="00511F39">
      <w:pPr>
        <w:pStyle w:val="NoSpacing"/>
        <w:numPr>
          <w:ilvl w:val="0"/>
          <w:numId w:val="23"/>
        </w:numPr>
      </w:pPr>
      <w:r>
        <w:t>Whistleblower Guideline</w:t>
      </w:r>
    </w:p>
    <w:p w14:paraId="1AAEF54F" w14:textId="3118E1DF" w:rsidR="00190841" w:rsidRPr="004919CD" w:rsidRDefault="00FF4CB2" w:rsidP="00511F39">
      <w:pPr>
        <w:pStyle w:val="NoSpacing"/>
        <w:numPr>
          <w:ilvl w:val="0"/>
          <w:numId w:val="23"/>
        </w:numPr>
      </w:pPr>
      <w:r>
        <w:t>Whistleblower F</w:t>
      </w:r>
      <w:r w:rsidR="00190841">
        <w:t>orm</w:t>
      </w:r>
    </w:p>
    <w:p w14:paraId="5D9CE147" w14:textId="77777777" w:rsidR="00511F39" w:rsidRDefault="00511F39" w:rsidP="00757BF2">
      <w:pPr>
        <w:pStyle w:val="NoSpacing"/>
      </w:pPr>
    </w:p>
    <w:p w14:paraId="7FFE376C" w14:textId="784DD979" w:rsidR="00190841" w:rsidRPr="00511F39" w:rsidRDefault="00190841" w:rsidP="00757BF2">
      <w:pPr>
        <w:pStyle w:val="NoSpacing"/>
        <w:rPr>
          <w:b/>
          <w:bCs/>
          <w:sz w:val="28"/>
          <w:szCs w:val="28"/>
        </w:rPr>
      </w:pPr>
      <w:r w:rsidRPr="00511F39">
        <w:rPr>
          <w:b/>
          <w:bCs/>
          <w:sz w:val="28"/>
          <w:szCs w:val="28"/>
        </w:rPr>
        <w:t>References</w:t>
      </w:r>
    </w:p>
    <w:p w14:paraId="24D4F8DD" w14:textId="77777777" w:rsidR="00511F39" w:rsidRDefault="00511F39" w:rsidP="00757BF2">
      <w:pPr>
        <w:pStyle w:val="NoSpacing"/>
        <w:rPr>
          <w:i/>
        </w:rPr>
      </w:pPr>
    </w:p>
    <w:p w14:paraId="7FBABE4C" w14:textId="667B5767" w:rsidR="00190841" w:rsidRPr="00FB18A5" w:rsidRDefault="00190841" w:rsidP="00511F39">
      <w:pPr>
        <w:pStyle w:val="NoSpacing"/>
        <w:numPr>
          <w:ilvl w:val="0"/>
          <w:numId w:val="24"/>
        </w:numPr>
        <w:rPr>
          <w:i/>
        </w:rPr>
      </w:pPr>
      <w:r w:rsidRPr="00FB18A5">
        <w:rPr>
          <w:i/>
        </w:rPr>
        <w:t xml:space="preserve">Public Interest Disclosure Act 2013 </w:t>
      </w:r>
      <w:r>
        <w:t>(</w:t>
      </w:r>
      <w:proofErr w:type="spellStart"/>
      <w:r>
        <w:t>Cth</w:t>
      </w:r>
      <w:proofErr w:type="spellEnd"/>
      <w:r>
        <w:t>)</w:t>
      </w:r>
    </w:p>
    <w:p w14:paraId="3A235A74" w14:textId="44482C75" w:rsidR="00190841" w:rsidRPr="008953EA" w:rsidRDefault="00190841" w:rsidP="00511F39">
      <w:pPr>
        <w:pStyle w:val="NoSpacing"/>
        <w:numPr>
          <w:ilvl w:val="0"/>
          <w:numId w:val="24"/>
        </w:numPr>
        <w:rPr>
          <w:i/>
        </w:rPr>
      </w:pPr>
      <w:r w:rsidRPr="00FB18A5">
        <w:rPr>
          <w:i/>
        </w:rPr>
        <w:t>Corporations Act 2001</w:t>
      </w:r>
      <w:r>
        <w:t xml:space="preserve"> (</w:t>
      </w:r>
      <w:proofErr w:type="spellStart"/>
      <w:r>
        <w:t>Cth</w:t>
      </w:r>
      <w:proofErr w:type="spellEnd"/>
      <w:r>
        <w:t>)</w:t>
      </w:r>
    </w:p>
    <w:p w14:paraId="7FC4E02C" w14:textId="77777777" w:rsidR="002D13CC" w:rsidRPr="00FB18A5" w:rsidRDefault="002D13CC" w:rsidP="00511F39">
      <w:pPr>
        <w:pStyle w:val="NoSpacing"/>
        <w:numPr>
          <w:ilvl w:val="0"/>
          <w:numId w:val="24"/>
        </w:numPr>
        <w:rPr>
          <w:i/>
        </w:rPr>
      </w:pPr>
      <w:r>
        <w:rPr>
          <w:i/>
        </w:rPr>
        <w:t>Treasury Laws Amendment (</w:t>
      </w:r>
      <w:proofErr w:type="spellStart"/>
      <w:r>
        <w:rPr>
          <w:i/>
        </w:rPr>
        <w:t>Whistleblowers</w:t>
      </w:r>
      <w:proofErr w:type="spellEnd"/>
      <w:r>
        <w:rPr>
          <w:i/>
        </w:rPr>
        <w:t>) Bill 2017</w:t>
      </w:r>
      <w:r>
        <w:rPr>
          <w:iCs/>
        </w:rPr>
        <w:t xml:space="preserve"> (</w:t>
      </w:r>
      <w:proofErr w:type="spellStart"/>
      <w:r>
        <w:rPr>
          <w:iCs/>
        </w:rPr>
        <w:t>Cth</w:t>
      </w:r>
      <w:proofErr w:type="spellEnd"/>
      <w:r>
        <w:rPr>
          <w:iCs/>
        </w:rPr>
        <w:t>)</w:t>
      </w:r>
    </w:p>
    <w:p w14:paraId="7951DCE5" w14:textId="77777777" w:rsidR="00190841" w:rsidRPr="00FB18A5" w:rsidRDefault="00190841" w:rsidP="00511F39">
      <w:pPr>
        <w:pStyle w:val="NoSpacing"/>
        <w:numPr>
          <w:ilvl w:val="0"/>
          <w:numId w:val="24"/>
        </w:numPr>
        <w:rPr>
          <w:i/>
        </w:rPr>
      </w:pPr>
      <w:r w:rsidRPr="00FB18A5">
        <w:rPr>
          <w:i/>
        </w:rPr>
        <w:t>Public Interest Disclosure Act 2010</w:t>
      </w:r>
      <w:r>
        <w:t xml:space="preserve"> (Qld)</w:t>
      </w:r>
    </w:p>
    <w:p w14:paraId="54942557" w14:textId="77777777" w:rsidR="00190841" w:rsidRPr="00FB18A5" w:rsidRDefault="00190841" w:rsidP="00511F39">
      <w:pPr>
        <w:pStyle w:val="NoSpacing"/>
        <w:numPr>
          <w:ilvl w:val="0"/>
          <w:numId w:val="24"/>
        </w:numPr>
        <w:rPr>
          <w:i/>
        </w:rPr>
      </w:pPr>
      <w:r>
        <w:t xml:space="preserve">Whistleblowing at Your Not-For-Profit, A Leader’s Guide: </w:t>
      </w:r>
      <w:hyperlink r:id="rId11" w:history="1">
        <w:r w:rsidRPr="0076496B">
          <w:rPr>
            <w:rStyle w:val="Hyperlink"/>
            <w:rFonts w:cs="Arial"/>
          </w:rPr>
          <w:t>https://www.ourcommunity.com.au/files/whistleblowingbook.pdf</w:t>
        </w:r>
      </w:hyperlink>
    </w:p>
    <w:p w14:paraId="35979246" w14:textId="1CCC651F" w:rsidR="00E32208" w:rsidRPr="008953EA" w:rsidRDefault="00485BFD" w:rsidP="00511F39">
      <w:pPr>
        <w:pStyle w:val="NoSpacing"/>
        <w:numPr>
          <w:ilvl w:val="0"/>
          <w:numId w:val="24"/>
        </w:numPr>
        <w:rPr>
          <w:rStyle w:val="Hyperlink"/>
          <w:rFonts w:cs="Arial"/>
          <w:i/>
          <w:color w:val="auto"/>
          <w:u w:val="none"/>
        </w:rPr>
      </w:pPr>
      <w:hyperlink r:id="rId12" w:history="1">
        <w:r w:rsidR="00E32208" w:rsidRPr="00100B88">
          <w:rPr>
            <w:rStyle w:val="Hyperlink"/>
            <w:rFonts w:cs="Arial"/>
          </w:rPr>
          <w:t>ASIC Regulatory Guide</w:t>
        </w:r>
        <w:r w:rsidR="00100B88" w:rsidRPr="00100B88">
          <w:rPr>
            <w:rStyle w:val="Hyperlink"/>
            <w:rFonts w:cs="Arial"/>
          </w:rPr>
          <w:t xml:space="preserve"> 270</w:t>
        </w:r>
        <w:r w:rsidR="00E32208" w:rsidRPr="00100B88">
          <w:rPr>
            <w:rStyle w:val="Hyperlink"/>
            <w:rFonts w:cs="Arial"/>
          </w:rPr>
          <w:t>: Whistleblower Policies</w:t>
        </w:r>
        <w:r w:rsidR="002D13CC" w:rsidRPr="00100B88">
          <w:rPr>
            <w:rStyle w:val="Hyperlink"/>
            <w:rFonts w:cs="Arial"/>
          </w:rPr>
          <w:t xml:space="preserve"> (</w:t>
        </w:r>
        <w:r w:rsidR="00100B88" w:rsidRPr="00100B88">
          <w:rPr>
            <w:rStyle w:val="Hyperlink"/>
            <w:rFonts w:cs="Arial"/>
          </w:rPr>
          <w:t>November</w:t>
        </w:r>
        <w:r w:rsidR="002D13CC" w:rsidRPr="00100B88">
          <w:rPr>
            <w:rStyle w:val="Hyperlink"/>
            <w:rFonts w:cs="Arial"/>
          </w:rPr>
          <w:t xml:space="preserve"> 2019)</w:t>
        </w:r>
      </w:hyperlink>
    </w:p>
    <w:p w14:paraId="56462CB3" w14:textId="6A96247C" w:rsidR="00392470" w:rsidRPr="00485BFD" w:rsidRDefault="002D13CC" w:rsidP="00511F39">
      <w:pPr>
        <w:pStyle w:val="NoSpacing"/>
        <w:numPr>
          <w:ilvl w:val="0"/>
          <w:numId w:val="24"/>
        </w:numPr>
        <w:rPr>
          <w:rStyle w:val="Hyperlink"/>
          <w:color w:val="auto"/>
          <w:u w:val="none"/>
        </w:rPr>
      </w:pPr>
      <w:r>
        <w:rPr>
          <w:rStyle w:val="Hyperlink"/>
          <w:rFonts w:cs="Arial"/>
        </w:rPr>
        <w:t>ASIC Information Sheet 238 –Whistleblower Rights and Protections (1 July 2019)</w:t>
      </w:r>
    </w:p>
    <w:p w14:paraId="1D029CD0" w14:textId="1D4A7AE2" w:rsidR="00D11459" w:rsidRPr="00485BFD" w:rsidRDefault="00D11459" w:rsidP="00D11459">
      <w:pPr>
        <w:pStyle w:val="NoSpacing"/>
        <w:numPr>
          <w:ilvl w:val="0"/>
          <w:numId w:val="24"/>
        </w:numPr>
        <w:rPr>
          <w:rStyle w:val="Hyperlink"/>
          <w:rFonts w:cs="Arial"/>
          <w:i/>
          <w:iCs/>
        </w:rPr>
      </w:pPr>
      <w:r w:rsidRPr="009A2C2B">
        <w:rPr>
          <w:rStyle w:val="Hyperlink"/>
          <w:rFonts w:cs="Arial"/>
          <w:i/>
          <w:iCs/>
        </w:rPr>
        <w:t xml:space="preserve">Human Rights Act </w:t>
      </w:r>
      <w:r>
        <w:rPr>
          <w:rStyle w:val="Hyperlink"/>
          <w:rFonts w:cs="Arial"/>
          <w:i/>
          <w:iCs/>
        </w:rPr>
        <w:t>2019 (Qld)</w:t>
      </w:r>
    </w:p>
    <w:p w14:paraId="64706D31" w14:textId="3AFB2F1D" w:rsidR="00A53A6F" w:rsidRDefault="00A53A6F" w:rsidP="00A53A6F">
      <w:pPr>
        <w:pStyle w:val="NoSpacing"/>
      </w:pPr>
    </w:p>
    <w:p w14:paraId="4F3E4AB8" w14:textId="77777777" w:rsidR="004D2498" w:rsidRPr="00C25574" w:rsidRDefault="004D2498" w:rsidP="004D249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Human Services Quality Standards</w:t>
      </w:r>
      <w:r w:rsidRPr="00C25574">
        <w:rPr>
          <w:b/>
          <w:bCs/>
          <w:sz w:val="28"/>
          <w:szCs w:val="28"/>
        </w:rPr>
        <w:t xml:space="preserve"> Indicators</w:t>
      </w:r>
    </w:p>
    <w:p w14:paraId="514B4260" w14:textId="23C559A0" w:rsidR="004D2498" w:rsidRPr="00392470" w:rsidRDefault="004D2498" w:rsidP="00485BFD">
      <w:pPr>
        <w:pStyle w:val="NoSpacing"/>
        <w:numPr>
          <w:ilvl w:val="0"/>
          <w:numId w:val="26"/>
        </w:numPr>
        <w:ind w:left="709"/>
      </w:pPr>
      <w:r w:rsidRPr="00C25574">
        <w:rPr>
          <w:rStyle w:val="Hyperlink"/>
          <w:rFonts w:cs="Arial"/>
        </w:rPr>
        <w:t>HSQS Indicators 1.1, 1.7, 4.3, 5.1, 5.2, 5.3 and 6.5.</w:t>
      </w:r>
    </w:p>
    <w:sectPr w:rsidR="004D2498" w:rsidRPr="00392470" w:rsidSect="00E11A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34" w:bottom="1440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35F1" w14:textId="77777777" w:rsidR="00D865C3" w:rsidRDefault="00D865C3" w:rsidP="003F2956">
      <w:r>
        <w:separator/>
      </w:r>
    </w:p>
  </w:endnote>
  <w:endnote w:type="continuationSeparator" w:id="0">
    <w:p w14:paraId="78A56539" w14:textId="77777777" w:rsidR="00D865C3" w:rsidRDefault="00D865C3" w:rsidP="003F2956">
      <w:r>
        <w:continuationSeparator/>
      </w:r>
    </w:p>
  </w:endnote>
  <w:endnote w:type="continuationNotice" w:id="1">
    <w:p w14:paraId="512656D8" w14:textId="77777777" w:rsidR="00D865C3" w:rsidRDefault="00D86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9F11" w14:textId="77777777" w:rsidR="00485BFD" w:rsidRDefault="00485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48" w:type="dxa"/>
      <w:tblLook w:val="01E0" w:firstRow="1" w:lastRow="1" w:firstColumn="1" w:lastColumn="1" w:noHBand="0" w:noVBand="0"/>
    </w:tblPr>
    <w:tblGrid>
      <w:gridCol w:w="1548"/>
      <w:gridCol w:w="1620"/>
      <w:gridCol w:w="1620"/>
      <w:gridCol w:w="3960"/>
    </w:tblGrid>
    <w:tr w:rsidR="00511C4F" w14:paraId="28A31AD9" w14:textId="77777777" w:rsidTr="00727F7A">
      <w:tc>
        <w:tcPr>
          <w:tcW w:w="1548" w:type="dxa"/>
          <w:shd w:val="clear" w:color="auto" w:fill="auto"/>
        </w:tcPr>
        <w:p w14:paraId="6EEFABC0" w14:textId="13D66D51" w:rsidR="00511C4F" w:rsidRDefault="00511C4F" w:rsidP="00727F7A">
          <w:pPr>
            <w:spacing w:line="360" w:lineRule="auto"/>
          </w:pPr>
          <w:r w:rsidRPr="001523EF">
            <w:rPr>
              <w:rFonts w:ascii="Arial" w:hAnsi="Arial" w:cs="Arial"/>
              <w:sz w:val="16"/>
              <w:szCs w:val="16"/>
            </w:rPr>
            <w:t>Date approved:</w:t>
          </w:r>
        </w:p>
      </w:tc>
      <w:tc>
        <w:tcPr>
          <w:tcW w:w="1620" w:type="dxa"/>
          <w:shd w:val="clear" w:color="auto" w:fill="auto"/>
        </w:tcPr>
        <w:p w14:paraId="7B9CD7E9" w14:textId="01F0435C" w:rsidR="00511C4F" w:rsidRPr="001523EF" w:rsidRDefault="00485BFD" w:rsidP="00727F7A">
          <w:pPr>
            <w:spacing w:line="36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20 May </w:t>
          </w:r>
          <w:r w:rsidR="0042321D">
            <w:rPr>
              <w:rFonts w:ascii="Arial" w:hAnsi="Arial" w:cs="Arial"/>
              <w:sz w:val="16"/>
              <w:szCs w:val="16"/>
            </w:rPr>
            <w:t>2021</w:t>
          </w:r>
        </w:p>
      </w:tc>
      <w:tc>
        <w:tcPr>
          <w:tcW w:w="1620" w:type="dxa"/>
          <w:shd w:val="clear" w:color="auto" w:fill="auto"/>
        </w:tcPr>
        <w:p w14:paraId="4B140CE4" w14:textId="77777777" w:rsidR="00511C4F" w:rsidRDefault="00492F9A" w:rsidP="00727F7A">
          <w:r>
            <w:rPr>
              <w:rFonts w:ascii="Arial" w:hAnsi="Arial" w:cs="Arial"/>
              <w:sz w:val="16"/>
              <w:szCs w:val="16"/>
            </w:rPr>
            <w:t>Procedure</w:t>
          </w:r>
          <w:r w:rsidR="00511C4F" w:rsidRPr="001523EF">
            <w:rPr>
              <w:rFonts w:ascii="Arial" w:hAnsi="Arial" w:cs="Arial"/>
              <w:sz w:val="16"/>
              <w:szCs w:val="16"/>
            </w:rPr>
            <w:t xml:space="preserve"> sponsor:</w:t>
          </w:r>
        </w:p>
      </w:tc>
      <w:tc>
        <w:tcPr>
          <w:tcW w:w="3960" w:type="dxa"/>
          <w:shd w:val="clear" w:color="auto" w:fill="auto"/>
        </w:tcPr>
        <w:p w14:paraId="5B3F5B6C" w14:textId="0990FC0D" w:rsidR="00511C4F" w:rsidRPr="001523EF" w:rsidRDefault="00050D54" w:rsidP="00727F7A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Chief Executive Officer</w:t>
          </w:r>
        </w:p>
      </w:tc>
    </w:tr>
    <w:tr w:rsidR="00511C4F" w14:paraId="68BBBE00" w14:textId="77777777" w:rsidTr="00727F7A">
      <w:tc>
        <w:tcPr>
          <w:tcW w:w="1548" w:type="dxa"/>
          <w:shd w:val="clear" w:color="auto" w:fill="auto"/>
        </w:tcPr>
        <w:p w14:paraId="1449BDCB" w14:textId="77777777" w:rsidR="00511C4F" w:rsidRDefault="00511C4F" w:rsidP="00727F7A">
          <w:pPr>
            <w:spacing w:line="360" w:lineRule="auto"/>
          </w:pPr>
          <w:r w:rsidRPr="001523EF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620" w:type="dxa"/>
          <w:shd w:val="clear" w:color="auto" w:fill="auto"/>
        </w:tcPr>
        <w:p w14:paraId="6C02C8BE" w14:textId="79D661EF" w:rsidR="00511C4F" w:rsidRPr="001523EF" w:rsidRDefault="006340B4" w:rsidP="00727F7A">
          <w:pPr>
            <w:spacing w:line="36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620" w:type="dxa"/>
          <w:shd w:val="clear" w:color="auto" w:fill="auto"/>
        </w:tcPr>
        <w:p w14:paraId="41DC2379" w14:textId="77777777" w:rsidR="00511C4F" w:rsidRDefault="00492F9A" w:rsidP="00727F7A">
          <w:r>
            <w:rPr>
              <w:rFonts w:ascii="Arial" w:hAnsi="Arial" w:cs="Arial"/>
              <w:sz w:val="16"/>
              <w:szCs w:val="16"/>
            </w:rPr>
            <w:t>Procedure</w:t>
          </w:r>
          <w:r w:rsidR="00511C4F" w:rsidRPr="001523EF">
            <w:rPr>
              <w:rFonts w:ascii="Arial" w:hAnsi="Arial" w:cs="Arial"/>
              <w:sz w:val="16"/>
              <w:szCs w:val="16"/>
            </w:rPr>
            <w:t xml:space="preserve"> contact:</w:t>
          </w:r>
        </w:p>
      </w:tc>
      <w:tc>
        <w:tcPr>
          <w:tcW w:w="3960" w:type="dxa"/>
          <w:shd w:val="clear" w:color="auto" w:fill="auto"/>
        </w:tcPr>
        <w:p w14:paraId="3549BBF0" w14:textId="13C8522B" w:rsidR="00511C4F" w:rsidRPr="001523EF" w:rsidRDefault="00050D54" w:rsidP="00727F7A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Company Secretary</w:t>
          </w:r>
        </w:p>
      </w:tc>
    </w:tr>
    <w:tr w:rsidR="00511C4F" w14:paraId="5D2DB0E1" w14:textId="77777777" w:rsidTr="00727F7A">
      <w:tc>
        <w:tcPr>
          <w:tcW w:w="1548" w:type="dxa"/>
          <w:shd w:val="clear" w:color="auto" w:fill="auto"/>
        </w:tcPr>
        <w:p w14:paraId="057501B6" w14:textId="77777777" w:rsidR="00511C4F" w:rsidRDefault="00511C4F" w:rsidP="00727F7A">
          <w:pPr>
            <w:spacing w:line="360" w:lineRule="auto"/>
          </w:pPr>
          <w:r w:rsidRPr="001523EF">
            <w:rPr>
              <w:rFonts w:ascii="Arial" w:hAnsi="Arial" w:cs="Arial"/>
              <w:sz w:val="16"/>
              <w:szCs w:val="16"/>
            </w:rPr>
            <w:t>Next review date:</w:t>
          </w:r>
        </w:p>
      </w:tc>
      <w:tc>
        <w:tcPr>
          <w:tcW w:w="1620" w:type="dxa"/>
          <w:shd w:val="clear" w:color="auto" w:fill="auto"/>
        </w:tcPr>
        <w:p w14:paraId="74CF5252" w14:textId="23E7EB96" w:rsidR="00511C4F" w:rsidRPr="001523EF" w:rsidRDefault="00485BFD" w:rsidP="00727F7A">
          <w:pPr>
            <w:spacing w:line="36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20 May </w:t>
          </w:r>
          <w:r w:rsidR="006340B4">
            <w:rPr>
              <w:rFonts w:ascii="Arial" w:hAnsi="Arial" w:cs="Arial"/>
              <w:sz w:val="16"/>
              <w:szCs w:val="16"/>
            </w:rPr>
            <w:t>2023</w:t>
          </w:r>
        </w:p>
      </w:tc>
      <w:tc>
        <w:tcPr>
          <w:tcW w:w="1620" w:type="dxa"/>
          <w:shd w:val="clear" w:color="auto" w:fill="auto"/>
        </w:tcPr>
        <w:p w14:paraId="5095FE43" w14:textId="77777777" w:rsidR="00511C4F" w:rsidRDefault="00511C4F" w:rsidP="00727F7A"/>
      </w:tc>
      <w:tc>
        <w:tcPr>
          <w:tcW w:w="3960" w:type="dxa"/>
          <w:shd w:val="clear" w:color="auto" w:fill="auto"/>
        </w:tcPr>
        <w:p w14:paraId="25482E87" w14:textId="77777777" w:rsidR="00511C4F" w:rsidRPr="001523EF" w:rsidRDefault="00511C4F" w:rsidP="00727F7A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1523EF">
            <w:rPr>
              <w:rFonts w:ascii="Arial" w:hAnsi="Arial" w:cs="Arial"/>
              <w:sz w:val="16"/>
              <w:szCs w:val="16"/>
            </w:rPr>
            <w:t xml:space="preserve">Page </w:t>
          </w:r>
          <w:r w:rsidRPr="001523E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1523E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1523E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A660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1523E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1523EF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1523E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1523EF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1523E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A660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1523E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CE79EA6" w14:textId="77777777" w:rsidR="004F2871" w:rsidRDefault="004F2871">
    <w:pPr>
      <w:pStyle w:val="Footer"/>
      <w:rPr>
        <w:rFonts w:asciiTheme="majorHAnsi" w:hAnsiTheme="majorHAnsi" w:cstheme="majorHAnsi"/>
        <w:b/>
        <w:noProof/>
        <w:color w:val="0F1E64" w:themeColor="text2"/>
      </w:rPr>
    </w:pPr>
  </w:p>
  <w:p w14:paraId="1CBE2A43" w14:textId="77777777" w:rsidR="006A7D08" w:rsidRPr="004F2871" w:rsidRDefault="00511C4F">
    <w:pPr>
      <w:pStyle w:val="Footer"/>
      <w:rPr>
        <w:rFonts w:asciiTheme="majorHAnsi" w:hAnsiTheme="majorHAnsi" w:cstheme="majorHAnsi"/>
        <w:b/>
        <w:color w:val="0F1E64" w:themeColor="text2"/>
      </w:rPr>
    </w:pPr>
    <w:r w:rsidRPr="004F2871">
      <w:rPr>
        <w:rFonts w:asciiTheme="majorHAnsi" w:hAnsiTheme="majorHAnsi" w:cstheme="majorHAnsi"/>
        <w:b/>
        <w:noProof/>
        <w:color w:val="0F1E64" w:themeColor="text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49D313" wp14:editId="543348A8">
              <wp:simplePos x="0" y="0"/>
              <wp:positionH relativeFrom="column">
                <wp:posOffset>1714500</wp:posOffset>
              </wp:positionH>
              <wp:positionV relativeFrom="paragraph">
                <wp:posOffset>9300210</wp:posOffset>
              </wp:positionV>
              <wp:extent cx="6172200" cy="685800"/>
              <wp:effectExtent l="0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748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1548"/>
                            <w:gridCol w:w="1620"/>
                            <w:gridCol w:w="1620"/>
                            <w:gridCol w:w="3960"/>
                          </w:tblGrid>
                          <w:tr w:rsidR="00511C4F" w14:paraId="54F72E5D" w14:textId="77777777" w:rsidTr="001523EF">
                            <w:tc>
                              <w:tcPr>
                                <w:tcW w:w="1548" w:type="dxa"/>
                                <w:shd w:val="clear" w:color="auto" w:fill="auto"/>
                              </w:tcPr>
                              <w:p w14:paraId="06FC0896" w14:textId="77777777" w:rsidR="00511C4F" w:rsidRDefault="00511C4F" w:rsidP="001523EF">
                                <w:pPr>
                                  <w:spacing w:line="360" w:lineRule="auto"/>
                                </w:pPr>
                                <w:r w:rsidRPr="001523E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Date approved: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shd w:val="clear" w:color="auto" w:fill="auto"/>
                              </w:tcPr>
                              <w:p w14:paraId="0DE22987" w14:textId="77777777" w:rsidR="00511C4F" w:rsidRPr="001523EF" w:rsidRDefault="00511C4F" w:rsidP="001523EF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  <w:shd w:val="clear" w:color="auto" w:fill="auto"/>
                              </w:tcPr>
                              <w:p w14:paraId="385FDB03" w14:textId="77777777" w:rsidR="00511C4F" w:rsidRDefault="00511C4F">
                                <w:r w:rsidRPr="001523E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Policy sponsor:</w:t>
                                </w:r>
                              </w:p>
                            </w:tc>
                            <w:tc>
                              <w:tcPr>
                                <w:tcW w:w="3960" w:type="dxa"/>
                                <w:shd w:val="clear" w:color="auto" w:fill="auto"/>
                              </w:tcPr>
                              <w:p w14:paraId="5061DA0E" w14:textId="77777777" w:rsidR="00511C4F" w:rsidRPr="001523EF" w:rsidRDefault="00511C4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11C4F" w14:paraId="6DB7DE5D" w14:textId="77777777" w:rsidTr="001523EF">
                            <w:tc>
                              <w:tcPr>
                                <w:tcW w:w="1548" w:type="dxa"/>
                                <w:shd w:val="clear" w:color="auto" w:fill="auto"/>
                              </w:tcPr>
                              <w:p w14:paraId="29BA997A" w14:textId="77777777" w:rsidR="00511C4F" w:rsidRDefault="00511C4F" w:rsidP="001523EF">
                                <w:pPr>
                                  <w:spacing w:line="360" w:lineRule="auto"/>
                                </w:pPr>
                                <w:r w:rsidRPr="001523E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Version: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shd w:val="clear" w:color="auto" w:fill="auto"/>
                              </w:tcPr>
                              <w:p w14:paraId="769EA22D" w14:textId="77777777" w:rsidR="00511C4F" w:rsidRPr="001523EF" w:rsidRDefault="00511C4F" w:rsidP="001523EF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  <w:shd w:val="clear" w:color="auto" w:fill="auto"/>
                              </w:tcPr>
                              <w:p w14:paraId="3EC095C7" w14:textId="77777777" w:rsidR="00511C4F" w:rsidRDefault="00511C4F">
                                <w:r w:rsidRPr="001523E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Policy contact:</w:t>
                                </w:r>
                              </w:p>
                            </w:tc>
                            <w:tc>
                              <w:tcPr>
                                <w:tcW w:w="3960" w:type="dxa"/>
                                <w:shd w:val="clear" w:color="auto" w:fill="auto"/>
                              </w:tcPr>
                              <w:p w14:paraId="7D3ECFD3" w14:textId="77777777" w:rsidR="00511C4F" w:rsidRPr="001523EF" w:rsidRDefault="00511C4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11C4F" w14:paraId="77C974CE" w14:textId="77777777" w:rsidTr="001523EF">
                            <w:tc>
                              <w:tcPr>
                                <w:tcW w:w="1548" w:type="dxa"/>
                                <w:shd w:val="clear" w:color="auto" w:fill="auto"/>
                              </w:tcPr>
                              <w:p w14:paraId="41DA9AC8" w14:textId="77777777" w:rsidR="00511C4F" w:rsidRDefault="00511C4F" w:rsidP="001523EF">
                                <w:pPr>
                                  <w:spacing w:line="360" w:lineRule="auto"/>
                                </w:pPr>
                                <w:r w:rsidRPr="001523E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Next review date: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shd w:val="clear" w:color="auto" w:fill="auto"/>
                              </w:tcPr>
                              <w:p w14:paraId="7A70D460" w14:textId="77777777" w:rsidR="00511C4F" w:rsidRPr="001523EF" w:rsidRDefault="00511C4F" w:rsidP="001523EF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  <w:shd w:val="clear" w:color="auto" w:fill="auto"/>
                              </w:tcPr>
                              <w:p w14:paraId="55907264" w14:textId="77777777" w:rsidR="00511C4F" w:rsidRDefault="00511C4F"/>
                            </w:tc>
                            <w:tc>
                              <w:tcPr>
                                <w:tcW w:w="3960" w:type="dxa"/>
                                <w:shd w:val="clear" w:color="auto" w:fill="auto"/>
                              </w:tcPr>
                              <w:p w14:paraId="21814890" w14:textId="77777777" w:rsidR="00511C4F" w:rsidRPr="001523EF" w:rsidRDefault="00511C4F" w:rsidP="001523EF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1523E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Page </w:t>
                                </w:r>
                                <w:r w:rsidRPr="001523EF">
                                  <w:rPr>
                                    <w:rStyle w:val="PageNumber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523EF">
                                  <w:rPr>
                                    <w:rStyle w:val="PageNumber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Pr="001523EF">
                                  <w:rPr>
                                    <w:rStyle w:val="PageNumber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DA660C">
                                  <w:rPr>
                                    <w:rStyle w:val="PageNumber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523EF">
                                  <w:rPr>
                                    <w:rStyle w:val="PageNumber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1523EF">
                                  <w:rPr>
                                    <w:rStyle w:val="PageNumber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Pr="001523EF">
                                  <w:rPr>
                                    <w:rStyle w:val="PageNumber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523EF">
                                  <w:rPr>
                                    <w:rStyle w:val="PageNumber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nstrText xml:space="preserve"> NUMPAGES </w:instrText>
                                </w:r>
                                <w:r w:rsidRPr="001523EF">
                                  <w:rPr>
                                    <w:rStyle w:val="PageNumber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DA660C">
                                  <w:rPr>
                                    <w:rStyle w:val="PageNumber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523EF">
                                  <w:rPr>
                                    <w:rStyle w:val="PageNumber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6930165" w14:textId="77777777" w:rsidR="00511C4F" w:rsidRDefault="00511C4F" w:rsidP="004344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9D3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35pt;margin-top:732.3pt;width:48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" filled="f" stroked="f">
              <v:textbox>
                <w:txbxContent>
                  <w:tbl>
                    <w:tblPr>
                      <w:tblW w:w="8748" w:type="dxa"/>
                      <w:tblLook w:val="01E0" w:firstRow="1" w:lastRow="1" w:firstColumn="1" w:lastColumn="1" w:noHBand="0" w:noVBand="0"/>
                    </w:tblPr>
                    <w:tblGrid>
                      <w:gridCol w:w="1548"/>
                      <w:gridCol w:w="1620"/>
                      <w:gridCol w:w="1620"/>
                      <w:gridCol w:w="3960"/>
                    </w:tblGrid>
                    <w:tr w:rsidR="00511C4F" w14:paraId="54F72E5D" w14:textId="77777777" w:rsidTr="001523EF">
                      <w:tc>
                        <w:tcPr>
                          <w:tcW w:w="1548" w:type="dxa"/>
                          <w:shd w:val="clear" w:color="auto" w:fill="auto"/>
                        </w:tcPr>
                        <w:p w14:paraId="06FC0896" w14:textId="77777777" w:rsidR="00511C4F" w:rsidRDefault="00511C4F" w:rsidP="001523EF">
                          <w:pPr>
                            <w:spacing w:line="360" w:lineRule="auto"/>
                          </w:pPr>
                          <w:r w:rsidRPr="001523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 approved:</w:t>
                          </w:r>
                        </w:p>
                      </w:tc>
                      <w:tc>
                        <w:tcPr>
                          <w:tcW w:w="1620" w:type="dxa"/>
                          <w:shd w:val="clear" w:color="auto" w:fill="auto"/>
                        </w:tcPr>
                        <w:p w14:paraId="0DE22987" w14:textId="77777777" w:rsidR="00511C4F" w:rsidRPr="001523EF" w:rsidRDefault="00511C4F" w:rsidP="001523EF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620" w:type="dxa"/>
                          <w:shd w:val="clear" w:color="auto" w:fill="auto"/>
                        </w:tcPr>
                        <w:p w14:paraId="385FDB03" w14:textId="77777777" w:rsidR="00511C4F" w:rsidRDefault="00511C4F">
                          <w:r w:rsidRPr="001523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Policy sponsor:</w:t>
                          </w:r>
                        </w:p>
                      </w:tc>
                      <w:tc>
                        <w:tcPr>
                          <w:tcW w:w="3960" w:type="dxa"/>
                          <w:shd w:val="clear" w:color="auto" w:fill="auto"/>
                        </w:tcPr>
                        <w:p w14:paraId="5061DA0E" w14:textId="77777777" w:rsidR="00511C4F" w:rsidRPr="001523EF" w:rsidRDefault="00511C4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511C4F" w14:paraId="6DB7DE5D" w14:textId="77777777" w:rsidTr="001523EF">
                      <w:tc>
                        <w:tcPr>
                          <w:tcW w:w="1548" w:type="dxa"/>
                          <w:shd w:val="clear" w:color="auto" w:fill="auto"/>
                        </w:tcPr>
                        <w:p w14:paraId="29BA997A" w14:textId="77777777" w:rsidR="00511C4F" w:rsidRDefault="00511C4F" w:rsidP="001523EF">
                          <w:pPr>
                            <w:spacing w:line="360" w:lineRule="auto"/>
                          </w:pPr>
                          <w:r w:rsidRPr="001523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Version:</w:t>
                          </w:r>
                        </w:p>
                      </w:tc>
                      <w:tc>
                        <w:tcPr>
                          <w:tcW w:w="1620" w:type="dxa"/>
                          <w:shd w:val="clear" w:color="auto" w:fill="auto"/>
                        </w:tcPr>
                        <w:p w14:paraId="769EA22D" w14:textId="77777777" w:rsidR="00511C4F" w:rsidRPr="001523EF" w:rsidRDefault="00511C4F" w:rsidP="001523EF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620" w:type="dxa"/>
                          <w:shd w:val="clear" w:color="auto" w:fill="auto"/>
                        </w:tcPr>
                        <w:p w14:paraId="3EC095C7" w14:textId="77777777" w:rsidR="00511C4F" w:rsidRDefault="00511C4F">
                          <w:r w:rsidRPr="001523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Policy contact:</w:t>
                          </w:r>
                        </w:p>
                      </w:tc>
                      <w:tc>
                        <w:tcPr>
                          <w:tcW w:w="3960" w:type="dxa"/>
                          <w:shd w:val="clear" w:color="auto" w:fill="auto"/>
                        </w:tcPr>
                        <w:p w14:paraId="7D3ECFD3" w14:textId="77777777" w:rsidR="00511C4F" w:rsidRPr="001523EF" w:rsidRDefault="00511C4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511C4F" w14:paraId="77C974CE" w14:textId="77777777" w:rsidTr="001523EF">
                      <w:tc>
                        <w:tcPr>
                          <w:tcW w:w="1548" w:type="dxa"/>
                          <w:shd w:val="clear" w:color="auto" w:fill="auto"/>
                        </w:tcPr>
                        <w:p w14:paraId="41DA9AC8" w14:textId="77777777" w:rsidR="00511C4F" w:rsidRDefault="00511C4F" w:rsidP="001523EF">
                          <w:pPr>
                            <w:spacing w:line="360" w:lineRule="auto"/>
                          </w:pPr>
                          <w:r w:rsidRPr="001523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Next review date:</w:t>
                          </w:r>
                        </w:p>
                      </w:tc>
                      <w:tc>
                        <w:tcPr>
                          <w:tcW w:w="1620" w:type="dxa"/>
                          <w:shd w:val="clear" w:color="auto" w:fill="auto"/>
                        </w:tcPr>
                        <w:p w14:paraId="7A70D460" w14:textId="77777777" w:rsidR="00511C4F" w:rsidRPr="001523EF" w:rsidRDefault="00511C4F" w:rsidP="001523EF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620" w:type="dxa"/>
                          <w:shd w:val="clear" w:color="auto" w:fill="auto"/>
                        </w:tcPr>
                        <w:p w14:paraId="55907264" w14:textId="77777777" w:rsidR="00511C4F" w:rsidRDefault="00511C4F"/>
                      </w:tc>
                      <w:tc>
                        <w:tcPr>
                          <w:tcW w:w="3960" w:type="dxa"/>
                          <w:shd w:val="clear" w:color="auto" w:fill="auto"/>
                        </w:tcPr>
                        <w:p w14:paraId="21814890" w14:textId="77777777" w:rsidR="00511C4F" w:rsidRPr="001523EF" w:rsidRDefault="00511C4F" w:rsidP="001523E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23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523EF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523EF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523EF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660C">
                            <w:rPr>
                              <w:rStyle w:val="PageNumbe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523EF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523EF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523EF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523EF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1523EF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660C">
                            <w:rPr>
                              <w:rStyle w:val="PageNumbe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523EF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6930165" w14:textId="77777777" w:rsidR="00511C4F" w:rsidRDefault="00511C4F" w:rsidP="004344EE"/>
                </w:txbxContent>
              </v:textbox>
            </v:shape>
          </w:pict>
        </mc:Fallback>
      </mc:AlternateContent>
    </w:r>
    <w:r w:rsidR="004F2871" w:rsidRPr="004F2871">
      <w:rPr>
        <w:rFonts w:asciiTheme="majorHAnsi" w:hAnsiTheme="majorHAnsi" w:cstheme="majorHAnsi"/>
        <w:b/>
        <w:noProof/>
        <w:color w:val="0F1E64" w:themeColor="text2"/>
      </w:rPr>
      <w:t>CCQ Confidenti</w:t>
    </w:r>
    <w:r w:rsidR="004F2871">
      <w:rPr>
        <w:rFonts w:asciiTheme="majorHAnsi" w:hAnsiTheme="majorHAnsi" w:cstheme="majorHAnsi"/>
        <w:b/>
        <w:noProof/>
        <w:color w:val="0F1E64" w:themeColor="text2"/>
      </w:rPr>
      <w:t>a</w:t>
    </w:r>
    <w:r w:rsidR="004F2871" w:rsidRPr="004F2871">
      <w:rPr>
        <w:rFonts w:asciiTheme="majorHAnsi" w:hAnsiTheme="majorHAnsi" w:cstheme="majorHAnsi"/>
        <w:b/>
        <w:noProof/>
        <w:color w:val="0F1E64" w:themeColor="text2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AE5F" w14:textId="77777777" w:rsidR="00485BFD" w:rsidRDefault="00485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4896" w14:textId="77777777" w:rsidR="00D865C3" w:rsidRDefault="00D865C3" w:rsidP="003F2956">
      <w:r>
        <w:separator/>
      </w:r>
    </w:p>
  </w:footnote>
  <w:footnote w:type="continuationSeparator" w:id="0">
    <w:p w14:paraId="3E769DA8" w14:textId="77777777" w:rsidR="00D865C3" w:rsidRDefault="00D865C3" w:rsidP="003F2956">
      <w:r>
        <w:continuationSeparator/>
      </w:r>
    </w:p>
  </w:footnote>
  <w:footnote w:type="continuationNotice" w:id="1">
    <w:p w14:paraId="5A6E8C65" w14:textId="77777777" w:rsidR="00D865C3" w:rsidRDefault="00D865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8C2B" w14:textId="77777777" w:rsidR="00485BFD" w:rsidRDefault="0048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E34F" w14:textId="77777777" w:rsidR="003F2956" w:rsidRDefault="00E83F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BE0FB2" wp14:editId="246D02B9">
              <wp:simplePos x="0" y="0"/>
              <wp:positionH relativeFrom="column">
                <wp:posOffset>3248416</wp:posOffset>
              </wp:positionH>
              <wp:positionV relativeFrom="paragraph">
                <wp:posOffset>-332670</wp:posOffset>
              </wp:positionV>
              <wp:extent cx="3217667" cy="564254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7667" cy="5642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773D2E" w14:textId="77777777" w:rsidR="00E83F1C" w:rsidRDefault="00E83F1C" w:rsidP="00E83F1C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4F72F9FB" w14:textId="6C3A5A6B" w:rsidR="00E83F1C" w:rsidRPr="00E83F1C" w:rsidRDefault="00D5723A" w:rsidP="00E83F1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  <w:szCs w:val="32"/>
                            </w:rPr>
                            <w:t>Whistleblower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E0F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8pt;margin-top:-26.2pt;width:253.35pt;height: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" filled="f" stroked="f" strokeweight=".5pt">
              <v:textbox>
                <w:txbxContent>
                  <w:p w14:paraId="4E773D2E" w14:textId="77777777" w:rsidR="00E83F1C" w:rsidRDefault="00E83F1C" w:rsidP="00E83F1C">
                    <w:pPr>
                      <w:jc w:val="right"/>
                      <w:rPr>
                        <w:rFonts w:asciiTheme="majorHAnsi" w:hAnsiTheme="majorHAnsi" w:cstheme="majorHAnsi"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  <w:szCs w:val="32"/>
                      </w:rPr>
                      <w:t xml:space="preserve"> </w:t>
                    </w:r>
                  </w:p>
                  <w:p w14:paraId="4F72F9FB" w14:textId="6C3A5A6B" w:rsidR="00E83F1C" w:rsidRPr="00E83F1C" w:rsidRDefault="00D5723A" w:rsidP="00E83F1C">
                    <w:pPr>
                      <w:jc w:val="right"/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  <w:szCs w:val="32"/>
                      </w:rPr>
                      <w:t>Whistleblower</w:t>
                    </w:r>
                  </w:p>
                </w:txbxContent>
              </v:textbox>
            </v:shape>
          </w:pict>
        </mc:Fallback>
      </mc:AlternateContent>
    </w:r>
    <w:r w:rsidRPr="004F28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E2BA2" wp14:editId="0BAC90B7">
              <wp:simplePos x="0" y="0"/>
              <wp:positionH relativeFrom="column">
                <wp:posOffset>4782633</wp:posOffset>
              </wp:positionH>
              <wp:positionV relativeFrom="paragraph">
                <wp:posOffset>100891</wp:posOffset>
              </wp:positionV>
              <wp:extent cx="1694580" cy="567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580" cy="567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C34B0" w14:textId="77777777" w:rsidR="004F2871" w:rsidRPr="004F2871" w:rsidRDefault="00641E87" w:rsidP="004F2871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002060"/>
                              <w:sz w:val="48"/>
                              <w:szCs w:val="48"/>
                            </w:rPr>
                          </w:pPr>
                          <w:r w:rsidRPr="00E83F1C">
                            <w:rPr>
                              <w:rFonts w:asciiTheme="minorHAnsi" w:hAnsiTheme="minorHAnsi" w:cstheme="minorHAnsi"/>
                              <w:color w:val="002060"/>
                              <w:sz w:val="48"/>
                              <w:szCs w:val="48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0E2BA2" id="Text Box 1" o:spid="_x0000_s1027" type="#_x0000_t202" style="position:absolute;margin-left:376.6pt;margin-top:7.95pt;width:133.45pt;height:44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" filled="f" stroked="f">
              <v:textbox style="mso-fit-shape-to-text:t">
                <w:txbxContent>
                  <w:p w14:paraId="06DC34B0" w14:textId="77777777" w:rsidR="004F2871" w:rsidRPr="004F2871" w:rsidRDefault="00641E87" w:rsidP="004F2871">
                    <w:pPr>
                      <w:jc w:val="right"/>
                      <w:rPr>
                        <w:rFonts w:asciiTheme="majorHAnsi" w:hAnsiTheme="majorHAnsi" w:cstheme="majorHAnsi"/>
                        <w:color w:val="002060"/>
                        <w:sz w:val="48"/>
                        <w:szCs w:val="48"/>
                      </w:rPr>
                    </w:pPr>
                    <w:r w:rsidRPr="00E83F1C">
                      <w:rPr>
                        <w:rFonts w:asciiTheme="minorHAnsi" w:hAnsiTheme="minorHAnsi" w:cstheme="minorHAnsi"/>
                        <w:color w:val="002060"/>
                        <w:sz w:val="48"/>
                        <w:szCs w:val="48"/>
                      </w:rPr>
                      <w:t>Procedure</w:t>
                    </w:r>
                  </w:p>
                </w:txbxContent>
              </v:textbox>
            </v:shape>
          </w:pict>
        </mc:Fallback>
      </mc:AlternateContent>
    </w:r>
    <w:r w:rsidR="004F2871" w:rsidRPr="004F2871">
      <w:rPr>
        <w:noProof/>
      </w:rPr>
      <w:drawing>
        <wp:anchor distT="0" distB="0" distL="114300" distR="114300" simplePos="0" relativeHeight="251662336" behindDoc="1" locked="0" layoutInCell="1" allowOverlap="1" wp14:anchorId="76386C0F" wp14:editId="6D966266">
          <wp:simplePos x="0" y="0"/>
          <wp:positionH relativeFrom="page">
            <wp:posOffset>0</wp:posOffset>
          </wp:positionH>
          <wp:positionV relativeFrom="page">
            <wp:posOffset>-8255</wp:posOffset>
          </wp:positionV>
          <wp:extent cx="7542000" cy="10663200"/>
          <wp:effectExtent l="0" t="0" r="190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Q A4 L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80BF7" w14:textId="77777777" w:rsidR="003F2956" w:rsidRDefault="003F2956">
    <w:pPr>
      <w:pStyle w:val="Header"/>
    </w:pPr>
  </w:p>
  <w:p w14:paraId="384FDA66" w14:textId="77777777" w:rsidR="00CE6F00" w:rsidRDefault="00CE6F00">
    <w:pPr>
      <w:pStyle w:val="Header"/>
    </w:pPr>
  </w:p>
  <w:p w14:paraId="6A7A4276" w14:textId="77777777" w:rsidR="00CE6F00" w:rsidRDefault="00CE6F00">
    <w:pPr>
      <w:pStyle w:val="Header"/>
    </w:pPr>
  </w:p>
  <w:p w14:paraId="6F5486AD" w14:textId="77777777" w:rsidR="00CE6F00" w:rsidRDefault="00CE6F00">
    <w:pPr>
      <w:pStyle w:val="Header"/>
    </w:pPr>
  </w:p>
  <w:p w14:paraId="18BF8493" w14:textId="77777777" w:rsidR="00CE6F00" w:rsidRDefault="00CE6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E249" w14:textId="77777777" w:rsidR="00485BFD" w:rsidRDefault="0048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750"/>
    <w:multiLevelType w:val="hybridMultilevel"/>
    <w:tmpl w:val="5A945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1804"/>
    <w:multiLevelType w:val="hybridMultilevel"/>
    <w:tmpl w:val="09848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6A0D"/>
    <w:multiLevelType w:val="hybridMultilevel"/>
    <w:tmpl w:val="A6A6CB6C"/>
    <w:lvl w:ilvl="0" w:tplc="DA4E7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21DC"/>
    <w:multiLevelType w:val="hybridMultilevel"/>
    <w:tmpl w:val="5C64F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40C"/>
    <w:multiLevelType w:val="hybridMultilevel"/>
    <w:tmpl w:val="E0ACB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4A90"/>
    <w:multiLevelType w:val="hybridMultilevel"/>
    <w:tmpl w:val="642C5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E6C94"/>
    <w:multiLevelType w:val="hybridMultilevel"/>
    <w:tmpl w:val="68A294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C3D7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 45 Light" w:eastAsia="Times New Roman" w:hAnsi="Univers 45 Light" w:cs="Times New Roman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03FF6"/>
    <w:multiLevelType w:val="hybridMultilevel"/>
    <w:tmpl w:val="F63C09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30D71"/>
    <w:multiLevelType w:val="hybridMultilevel"/>
    <w:tmpl w:val="A850890C"/>
    <w:lvl w:ilvl="0" w:tplc="DA4E7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3251F"/>
    <w:multiLevelType w:val="hybridMultilevel"/>
    <w:tmpl w:val="93105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970B7"/>
    <w:multiLevelType w:val="hybridMultilevel"/>
    <w:tmpl w:val="C94A9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D1E48"/>
    <w:multiLevelType w:val="hybridMultilevel"/>
    <w:tmpl w:val="F8489854"/>
    <w:lvl w:ilvl="0" w:tplc="6CAEB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E464C"/>
    <w:multiLevelType w:val="hybridMultilevel"/>
    <w:tmpl w:val="27543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35113"/>
    <w:multiLevelType w:val="hybridMultilevel"/>
    <w:tmpl w:val="038420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C3D7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 45 Light" w:eastAsia="Times New Roman" w:hAnsi="Univers 45 Light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A3A20"/>
    <w:multiLevelType w:val="hybridMultilevel"/>
    <w:tmpl w:val="1CA08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74EB3"/>
    <w:multiLevelType w:val="hybridMultilevel"/>
    <w:tmpl w:val="BF84D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47F1E"/>
    <w:multiLevelType w:val="hybridMultilevel"/>
    <w:tmpl w:val="E9CCF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E4C98"/>
    <w:multiLevelType w:val="hybridMultilevel"/>
    <w:tmpl w:val="3D2A0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E75D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45712"/>
    <w:multiLevelType w:val="hybridMultilevel"/>
    <w:tmpl w:val="4A88BCE6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A27FDF"/>
    <w:multiLevelType w:val="hybridMultilevel"/>
    <w:tmpl w:val="BE9AB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52967"/>
    <w:multiLevelType w:val="hybridMultilevel"/>
    <w:tmpl w:val="1E586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3152B"/>
    <w:multiLevelType w:val="hybridMultilevel"/>
    <w:tmpl w:val="BDFE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E2A7B"/>
    <w:multiLevelType w:val="hybridMultilevel"/>
    <w:tmpl w:val="B8D65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C5BF6"/>
    <w:multiLevelType w:val="hybridMultilevel"/>
    <w:tmpl w:val="0B88C30E"/>
    <w:lvl w:ilvl="0" w:tplc="EC4E26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546B1"/>
    <w:multiLevelType w:val="hybridMultilevel"/>
    <w:tmpl w:val="4BB4ADE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8E3D95"/>
    <w:multiLevelType w:val="hybridMultilevel"/>
    <w:tmpl w:val="E7822A26"/>
    <w:lvl w:ilvl="0" w:tplc="6DAE28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6"/>
  </w:num>
  <w:num w:numId="8">
    <w:abstractNumId w:val="12"/>
  </w:num>
  <w:num w:numId="9">
    <w:abstractNumId w:val="0"/>
  </w:num>
  <w:num w:numId="10">
    <w:abstractNumId w:val="24"/>
  </w:num>
  <w:num w:numId="11">
    <w:abstractNumId w:val="17"/>
  </w:num>
  <w:num w:numId="12">
    <w:abstractNumId w:val="22"/>
  </w:num>
  <w:num w:numId="13">
    <w:abstractNumId w:val="21"/>
  </w:num>
  <w:num w:numId="14">
    <w:abstractNumId w:val="11"/>
  </w:num>
  <w:num w:numId="15">
    <w:abstractNumId w:val="2"/>
  </w:num>
  <w:num w:numId="16">
    <w:abstractNumId w:val="25"/>
  </w:num>
  <w:num w:numId="17">
    <w:abstractNumId w:val="4"/>
  </w:num>
  <w:num w:numId="18">
    <w:abstractNumId w:val="1"/>
  </w:num>
  <w:num w:numId="19">
    <w:abstractNumId w:val="18"/>
  </w:num>
  <w:num w:numId="20">
    <w:abstractNumId w:val="10"/>
  </w:num>
  <w:num w:numId="21">
    <w:abstractNumId w:val="8"/>
  </w:num>
  <w:num w:numId="22">
    <w:abstractNumId w:val="20"/>
  </w:num>
  <w:num w:numId="23">
    <w:abstractNumId w:val="14"/>
  </w:num>
  <w:num w:numId="24">
    <w:abstractNumId w:val="9"/>
  </w:num>
  <w:num w:numId="25">
    <w:abstractNumId w:val="23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B7"/>
    <w:rsid w:val="00023C6C"/>
    <w:rsid w:val="00050D54"/>
    <w:rsid w:val="00067432"/>
    <w:rsid w:val="00072C43"/>
    <w:rsid w:val="00085762"/>
    <w:rsid w:val="00086CB8"/>
    <w:rsid w:val="000A5EFD"/>
    <w:rsid w:val="000B73D0"/>
    <w:rsid w:val="000C18CD"/>
    <w:rsid w:val="000C797F"/>
    <w:rsid w:val="000D2A9D"/>
    <w:rsid w:val="000E078D"/>
    <w:rsid w:val="00100B88"/>
    <w:rsid w:val="00110E77"/>
    <w:rsid w:val="00136F21"/>
    <w:rsid w:val="001472B1"/>
    <w:rsid w:val="001615EA"/>
    <w:rsid w:val="00166648"/>
    <w:rsid w:val="001730EE"/>
    <w:rsid w:val="0017356C"/>
    <w:rsid w:val="00183458"/>
    <w:rsid w:val="00183AB2"/>
    <w:rsid w:val="00190092"/>
    <w:rsid w:val="00190841"/>
    <w:rsid w:val="001A4126"/>
    <w:rsid w:val="001A47C7"/>
    <w:rsid w:val="001A681C"/>
    <w:rsid w:val="001B5D54"/>
    <w:rsid w:val="001B7609"/>
    <w:rsid w:val="001D08D1"/>
    <w:rsid w:val="001D4835"/>
    <w:rsid w:val="001D50E2"/>
    <w:rsid w:val="001D6978"/>
    <w:rsid w:val="001E2CE6"/>
    <w:rsid w:val="001E4864"/>
    <w:rsid w:val="001E6245"/>
    <w:rsid w:val="00202C6C"/>
    <w:rsid w:val="00212D40"/>
    <w:rsid w:val="00224F9E"/>
    <w:rsid w:val="0024168A"/>
    <w:rsid w:val="002512A6"/>
    <w:rsid w:val="00254E4D"/>
    <w:rsid w:val="00255A28"/>
    <w:rsid w:val="00267699"/>
    <w:rsid w:val="002724D2"/>
    <w:rsid w:val="002736E7"/>
    <w:rsid w:val="00287E86"/>
    <w:rsid w:val="00297BC3"/>
    <w:rsid w:val="002A2A10"/>
    <w:rsid w:val="002A46F7"/>
    <w:rsid w:val="002B0262"/>
    <w:rsid w:val="002B1025"/>
    <w:rsid w:val="002B1E4D"/>
    <w:rsid w:val="002C1B58"/>
    <w:rsid w:val="002D13CC"/>
    <w:rsid w:val="002D7D6A"/>
    <w:rsid w:val="002E25C8"/>
    <w:rsid w:val="002E2BB3"/>
    <w:rsid w:val="002E3780"/>
    <w:rsid w:val="002E63C5"/>
    <w:rsid w:val="002F296C"/>
    <w:rsid w:val="00307508"/>
    <w:rsid w:val="00334A22"/>
    <w:rsid w:val="003532B3"/>
    <w:rsid w:val="003558F4"/>
    <w:rsid w:val="003644A5"/>
    <w:rsid w:val="00377807"/>
    <w:rsid w:val="00382124"/>
    <w:rsid w:val="00392470"/>
    <w:rsid w:val="003A3E8A"/>
    <w:rsid w:val="003A53F6"/>
    <w:rsid w:val="003B15D1"/>
    <w:rsid w:val="003B7B30"/>
    <w:rsid w:val="003C2816"/>
    <w:rsid w:val="003C360D"/>
    <w:rsid w:val="003D3BBA"/>
    <w:rsid w:val="003E4822"/>
    <w:rsid w:val="003F2956"/>
    <w:rsid w:val="0042321D"/>
    <w:rsid w:val="0042726D"/>
    <w:rsid w:val="0043022C"/>
    <w:rsid w:val="00433D59"/>
    <w:rsid w:val="0044249B"/>
    <w:rsid w:val="004621E2"/>
    <w:rsid w:val="00463F5C"/>
    <w:rsid w:val="00485BFD"/>
    <w:rsid w:val="00492F9A"/>
    <w:rsid w:val="004D2498"/>
    <w:rsid w:val="004D58EC"/>
    <w:rsid w:val="004E1470"/>
    <w:rsid w:val="004F2871"/>
    <w:rsid w:val="004F7C37"/>
    <w:rsid w:val="00504A19"/>
    <w:rsid w:val="00507999"/>
    <w:rsid w:val="00511C4F"/>
    <w:rsid w:val="00511F39"/>
    <w:rsid w:val="00523AD8"/>
    <w:rsid w:val="00534A29"/>
    <w:rsid w:val="00553128"/>
    <w:rsid w:val="0055483E"/>
    <w:rsid w:val="00565A4D"/>
    <w:rsid w:val="005675EE"/>
    <w:rsid w:val="0058254F"/>
    <w:rsid w:val="005877A7"/>
    <w:rsid w:val="00596086"/>
    <w:rsid w:val="005A4D7D"/>
    <w:rsid w:val="005A54A3"/>
    <w:rsid w:val="005D30E5"/>
    <w:rsid w:val="005F300D"/>
    <w:rsid w:val="006028F8"/>
    <w:rsid w:val="00612DE6"/>
    <w:rsid w:val="006223EA"/>
    <w:rsid w:val="00632FB2"/>
    <w:rsid w:val="006340B4"/>
    <w:rsid w:val="0063635B"/>
    <w:rsid w:val="006402F2"/>
    <w:rsid w:val="00641E87"/>
    <w:rsid w:val="006471D2"/>
    <w:rsid w:val="006602F4"/>
    <w:rsid w:val="00670043"/>
    <w:rsid w:val="00677992"/>
    <w:rsid w:val="00680CC5"/>
    <w:rsid w:val="006818A3"/>
    <w:rsid w:val="006A7D08"/>
    <w:rsid w:val="006D04B1"/>
    <w:rsid w:val="006D08B1"/>
    <w:rsid w:val="006D6EBF"/>
    <w:rsid w:val="006E0629"/>
    <w:rsid w:val="006E5499"/>
    <w:rsid w:val="006F3F3F"/>
    <w:rsid w:val="0070203D"/>
    <w:rsid w:val="0070390B"/>
    <w:rsid w:val="00715B74"/>
    <w:rsid w:val="00726DBE"/>
    <w:rsid w:val="0072795D"/>
    <w:rsid w:val="00733C72"/>
    <w:rsid w:val="00743D98"/>
    <w:rsid w:val="00750472"/>
    <w:rsid w:val="00753CFD"/>
    <w:rsid w:val="00757BF2"/>
    <w:rsid w:val="0076718C"/>
    <w:rsid w:val="0077626C"/>
    <w:rsid w:val="00780DBA"/>
    <w:rsid w:val="00783773"/>
    <w:rsid w:val="00791160"/>
    <w:rsid w:val="007B094E"/>
    <w:rsid w:val="007C6C92"/>
    <w:rsid w:val="007C7A5D"/>
    <w:rsid w:val="007D5077"/>
    <w:rsid w:val="007D553C"/>
    <w:rsid w:val="007E0851"/>
    <w:rsid w:val="007F0A82"/>
    <w:rsid w:val="007F3191"/>
    <w:rsid w:val="00811EFB"/>
    <w:rsid w:val="00822F71"/>
    <w:rsid w:val="00827F2B"/>
    <w:rsid w:val="00861632"/>
    <w:rsid w:val="00862D97"/>
    <w:rsid w:val="00871AD9"/>
    <w:rsid w:val="008801F0"/>
    <w:rsid w:val="00880DDF"/>
    <w:rsid w:val="008936C8"/>
    <w:rsid w:val="008953EA"/>
    <w:rsid w:val="008A44E1"/>
    <w:rsid w:val="008A7DE5"/>
    <w:rsid w:val="008B605B"/>
    <w:rsid w:val="008C2558"/>
    <w:rsid w:val="008E24B1"/>
    <w:rsid w:val="008E4999"/>
    <w:rsid w:val="008F722F"/>
    <w:rsid w:val="008F7D7B"/>
    <w:rsid w:val="0090491B"/>
    <w:rsid w:val="00910A11"/>
    <w:rsid w:val="009200E1"/>
    <w:rsid w:val="00924C2C"/>
    <w:rsid w:val="009479EB"/>
    <w:rsid w:val="00947AEC"/>
    <w:rsid w:val="0095196B"/>
    <w:rsid w:val="00953683"/>
    <w:rsid w:val="00962D67"/>
    <w:rsid w:val="009653BF"/>
    <w:rsid w:val="0096719B"/>
    <w:rsid w:val="009748D3"/>
    <w:rsid w:val="0097518A"/>
    <w:rsid w:val="009768D7"/>
    <w:rsid w:val="00976EC1"/>
    <w:rsid w:val="00981CFE"/>
    <w:rsid w:val="00986E2C"/>
    <w:rsid w:val="00996600"/>
    <w:rsid w:val="009B0ECC"/>
    <w:rsid w:val="009B73DD"/>
    <w:rsid w:val="009C5846"/>
    <w:rsid w:val="009E104D"/>
    <w:rsid w:val="009E6D56"/>
    <w:rsid w:val="00A07C5F"/>
    <w:rsid w:val="00A24FE1"/>
    <w:rsid w:val="00A3347E"/>
    <w:rsid w:val="00A46790"/>
    <w:rsid w:val="00A53A6F"/>
    <w:rsid w:val="00A5453A"/>
    <w:rsid w:val="00A62955"/>
    <w:rsid w:val="00A65F09"/>
    <w:rsid w:val="00A666A6"/>
    <w:rsid w:val="00A73010"/>
    <w:rsid w:val="00A80BE5"/>
    <w:rsid w:val="00A95A0C"/>
    <w:rsid w:val="00AA0F90"/>
    <w:rsid w:val="00AB60F9"/>
    <w:rsid w:val="00AC21A0"/>
    <w:rsid w:val="00AC66E2"/>
    <w:rsid w:val="00AC7F3A"/>
    <w:rsid w:val="00AD40DF"/>
    <w:rsid w:val="00AF345D"/>
    <w:rsid w:val="00B018D8"/>
    <w:rsid w:val="00B16B80"/>
    <w:rsid w:val="00B27CED"/>
    <w:rsid w:val="00B672F1"/>
    <w:rsid w:val="00B721A2"/>
    <w:rsid w:val="00B766AB"/>
    <w:rsid w:val="00B92A3B"/>
    <w:rsid w:val="00B941A7"/>
    <w:rsid w:val="00BA3602"/>
    <w:rsid w:val="00BA64FC"/>
    <w:rsid w:val="00BB7A94"/>
    <w:rsid w:val="00BE3814"/>
    <w:rsid w:val="00BE3FB7"/>
    <w:rsid w:val="00BF460E"/>
    <w:rsid w:val="00BF56FC"/>
    <w:rsid w:val="00C022F5"/>
    <w:rsid w:val="00C060D8"/>
    <w:rsid w:val="00C06BEA"/>
    <w:rsid w:val="00C073B0"/>
    <w:rsid w:val="00C229E1"/>
    <w:rsid w:val="00C22EC2"/>
    <w:rsid w:val="00C311F9"/>
    <w:rsid w:val="00C37B16"/>
    <w:rsid w:val="00C55DF4"/>
    <w:rsid w:val="00C7116D"/>
    <w:rsid w:val="00C762EC"/>
    <w:rsid w:val="00C763C9"/>
    <w:rsid w:val="00C97C33"/>
    <w:rsid w:val="00CA3080"/>
    <w:rsid w:val="00CA6F2D"/>
    <w:rsid w:val="00CD1F43"/>
    <w:rsid w:val="00CD7424"/>
    <w:rsid w:val="00CE40EC"/>
    <w:rsid w:val="00CE5C41"/>
    <w:rsid w:val="00CE6BAC"/>
    <w:rsid w:val="00CE6F00"/>
    <w:rsid w:val="00CF24BE"/>
    <w:rsid w:val="00CF2F20"/>
    <w:rsid w:val="00CF30F0"/>
    <w:rsid w:val="00CF4CA5"/>
    <w:rsid w:val="00D11459"/>
    <w:rsid w:val="00D3228A"/>
    <w:rsid w:val="00D43D73"/>
    <w:rsid w:val="00D45DA4"/>
    <w:rsid w:val="00D5723A"/>
    <w:rsid w:val="00D8543E"/>
    <w:rsid w:val="00D865C3"/>
    <w:rsid w:val="00D91316"/>
    <w:rsid w:val="00D958BB"/>
    <w:rsid w:val="00DA660C"/>
    <w:rsid w:val="00DC036A"/>
    <w:rsid w:val="00DF2C76"/>
    <w:rsid w:val="00DF543A"/>
    <w:rsid w:val="00E115AF"/>
    <w:rsid w:val="00E11A59"/>
    <w:rsid w:val="00E23D10"/>
    <w:rsid w:val="00E24979"/>
    <w:rsid w:val="00E32208"/>
    <w:rsid w:val="00E40145"/>
    <w:rsid w:val="00E424B4"/>
    <w:rsid w:val="00E72A1A"/>
    <w:rsid w:val="00E758A2"/>
    <w:rsid w:val="00E77440"/>
    <w:rsid w:val="00E83F1C"/>
    <w:rsid w:val="00E954D3"/>
    <w:rsid w:val="00EA0203"/>
    <w:rsid w:val="00EC19D3"/>
    <w:rsid w:val="00ED2B33"/>
    <w:rsid w:val="00ED30E7"/>
    <w:rsid w:val="00ED3262"/>
    <w:rsid w:val="00ED5311"/>
    <w:rsid w:val="00ED70EA"/>
    <w:rsid w:val="00EE3525"/>
    <w:rsid w:val="00EE733C"/>
    <w:rsid w:val="00EF65A1"/>
    <w:rsid w:val="00F00FC8"/>
    <w:rsid w:val="00F0126F"/>
    <w:rsid w:val="00F33C43"/>
    <w:rsid w:val="00F36708"/>
    <w:rsid w:val="00F56972"/>
    <w:rsid w:val="00F630AB"/>
    <w:rsid w:val="00F84570"/>
    <w:rsid w:val="00F9019A"/>
    <w:rsid w:val="00FA137B"/>
    <w:rsid w:val="00FB2BAB"/>
    <w:rsid w:val="00FD26A2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4C9DF2"/>
  <w15:docId w15:val="{E1CDA244-66B3-4052-A990-65E8A9C4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A62955"/>
    <w:pPr>
      <w:keepNext/>
      <w:outlineLvl w:val="0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nhideWhenUsed/>
    <w:rsid w:val="003F2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295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F2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95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11C4F"/>
  </w:style>
  <w:style w:type="character" w:customStyle="1" w:styleId="Heading1Char">
    <w:name w:val="Heading 1 Char"/>
    <w:basedOn w:val="DefaultParagraphFont"/>
    <w:link w:val="Heading1"/>
    <w:rsid w:val="00A62955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924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ED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27CED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8B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C66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wnload.asic.gov.au/media/5340534/rg270-published-13-november-2019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urcommunity.com.au/files/whistleblowingbook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ncerCouncil_2018">
  <a:themeElements>
    <a:clrScheme name="CCQ 2018">
      <a:dk1>
        <a:sysClr val="windowText" lastClr="000000"/>
      </a:dk1>
      <a:lt1>
        <a:sysClr val="window" lastClr="FFFFFF"/>
      </a:lt1>
      <a:dk2>
        <a:srgbClr val="0F1E64"/>
      </a:dk2>
      <a:lt2>
        <a:srgbClr val="EEECE1"/>
      </a:lt2>
      <a:accent1>
        <a:srgbClr val="009BDC"/>
      </a:accent1>
      <a:accent2>
        <a:srgbClr val="FFD200"/>
      </a:accent2>
      <a:accent3>
        <a:srgbClr val="FFF000"/>
      </a:accent3>
      <a:accent4>
        <a:srgbClr val="6EC846"/>
      </a:accent4>
      <a:accent5>
        <a:srgbClr val="7D46A0"/>
      </a:accent5>
      <a:accent6>
        <a:srgbClr val="F05028"/>
      </a:accent6>
      <a:hlink>
        <a:srgbClr val="0000FF"/>
      </a:hlink>
      <a:folHlink>
        <a:srgbClr val="800080"/>
      </a:folHlink>
    </a:clrScheme>
    <a:fontScheme name="CCQ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ncerCouncil_2018" id="{1403CA4A-8C9B-4D7E-8954-BCE179B07958}" vid="{8678961E-E409-4065-97AC-94D6D4FAA2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03CF7F2A30F4A886B7BE431D47A8C" ma:contentTypeVersion="12" ma:contentTypeDescription="Create a new document." ma:contentTypeScope="" ma:versionID="0e271bf7eb7a5159c8df9b4f83b97655">
  <xsd:schema xmlns:xsd="http://www.w3.org/2001/XMLSchema" xmlns:xs="http://www.w3.org/2001/XMLSchema" xmlns:p="http://schemas.microsoft.com/office/2006/metadata/properties" xmlns:ns2="9283ee21-4612-47c7-bfb9-1adf215e0f46" xmlns:ns3="f30a6ae3-b12b-4c58-95c0-0295deef01e4" targetNamespace="http://schemas.microsoft.com/office/2006/metadata/properties" ma:root="true" ma:fieldsID="38a23fdbf4da7028d5de8a1672148fda" ns2:_="" ns3:_="">
    <xsd:import namespace="9283ee21-4612-47c7-bfb9-1adf215e0f46"/>
    <xsd:import namespace="f30a6ae3-b12b-4c58-95c0-0295deef0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3ee21-4612-47c7-bfb9-1adf215e0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6ae3-b12b-4c58-95c0-0295deef0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9957-6AD3-4A26-9792-2C270776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3ee21-4612-47c7-bfb9-1adf215e0f46"/>
    <ds:schemaRef ds:uri="f30a6ae3-b12b-4c58-95c0-0295deef0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28A28-A873-41AF-8E5F-31F2AB967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EF2CBB-9F5E-4ABE-860A-43DF5A2E1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480B2-F3B7-415D-8DC5-52A6703B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Jennings</dc:creator>
  <cp:lastModifiedBy>Samantha Lennox</cp:lastModifiedBy>
  <cp:revision>42</cp:revision>
  <cp:lastPrinted>2019-11-06T06:28:00Z</cp:lastPrinted>
  <dcterms:created xsi:type="dcterms:W3CDTF">2020-02-26T06:41:00Z</dcterms:created>
  <dcterms:modified xsi:type="dcterms:W3CDTF">2021-05-24T02:03:00Z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0x01010031D03CF7F2A30F4A886B7BE431D47A8C</vt:lpwstr>
  </property>
  <property fmtid="{D5CDD505-2E9C-101B-9397-08002B2CF9AE}" pid="3" name="Order">
    <vt:r8>808800</vt:r8>
  </property>
</Properties>
</file>